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A5F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EB422E">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B56C21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03.200</w:t>
            </w:r>
            <w:r>
              <w:rPr>
                <w:rFonts w:ascii="黑体" w:hAnsi="黑体" w:eastAsia="黑体"/>
                <w:sz w:val="21"/>
                <w:szCs w:val="21"/>
              </w:rPr>
              <w:t xml:space="preserve"> </w:t>
            </w:r>
            <w:r>
              <w:rPr>
                <w:rFonts w:ascii="黑体" w:hAnsi="黑体" w:eastAsia="黑体"/>
                <w:sz w:val="21"/>
                <w:szCs w:val="21"/>
              </w:rPr>
              <w:fldChar w:fldCharType="end"/>
            </w:r>
            <w:bookmarkEnd w:id="0"/>
          </w:p>
        </w:tc>
      </w:tr>
      <w:tr w14:paraId="604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4D14B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A1FC81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9C9F1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73BD8CA8">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t>42</w:t>
            </w:r>
          </w:p>
        </w:tc>
      </w:tr>
    </w:tbl>
    <w:p w14:paraId="63479D34">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湖北省</w:t>
      </w:r>
      <w:r>
        <w:rPr>
          <w:rFonts w:hint="eastAsia" w:ascii="黑体" w:hAnsi="黑体" w:eastAsia="黑体"/>
          <w:b w:val="0"/>
          <w:bCs w:val="0"/>
          <w:w w:val="100"/>
          <w:sz w:val="48"/>
          <w:szCs w:val="48"/>
        </w:rPr>
        <w:t>地方标准</w:t>
      </w:r>
    </w:p>
    <w:bookmarkEnd w:id="2"/>
    <w:p w14:paraId="4D66CD6C">
      <w:pPr>
        <w:pStyle w:val="195"/>
        <w:rPr>
          <w:lang w:val="fr-FR"/>
        </w:rPr>
      </w:pPr>
      <w:r>
        <w:rPr>
          <w:lang w:val="fr-FR"/>
        </w:rPr>
        <w:t>DB</w:t>
      </w:r>
      <w:r>
        <w:rPr>
          <w:sz w:val="15"/>
          <w:szCs w:val="15"/>
          <w:lang w:val="fr-FR"/>
        </w:rPr>
        <w:t xml:space="preserve"> </w:t>
      </w:r>
      <w:r>
        <w:t>42/T</w:t>
      </w:r>
      <w:r>
        <w:rPr>
          <w:lang w:val="fr-FR"/>
        </w:rPr>
        <w:t xml:space="preserve"> </w:t>
      </w:r>
      <w:r>
        <w:rPr>
          <w:rFonts w:hint="eastAsia"/>
        </w:rPr>
        <w:t>XXX</w:t>
      </w:r>
      <w:r>
        <w:rPr>
          <w:rFonts w:hAnsi="黑体"/>
          <w:lang w:val="fr-FR"/>
        </w:rPr>
        <w:t>—</w:t>
      </w:r>
      <w:r>
        <w:rPr>
          <w:rFonts w:hint="eastAsia"/>
        </w:rPr>
        <w:t>2025</w:t>
      </w:r>
    </w:p>
    <w:p w14:paraId="7BE399E6">
      <w:pPr>
        <w:pStyle w:val="196"/>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6593FB7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223E05">
      <w:pPr>
        <w:pStyle w:val="50"/>
        <w:framePr w:w="9639" w:h="6976" w:hRule="exact" w:hSpace="0" w:vSpace="0" w:wrap="around" w:hAnchor="page" w:y="6408"/>
        <w:jc w:val="center"/>
        <w:rPr>
          <w:rFonts w:ascii="黑体" w:hAnsi="黑体" w:eastAsia="黑体"/>
          <w:b w:val="0"/>
          <w:bCs w:val="0"/>
          <w:w w:val="100"/>
        </w:rPr>
      </w:pPr>
    </w:p>
    <w:p w14:paraId="31B23E74">
      <w:pPr>
        <w:pStyle w:val="197"/>
        <w:framePr w:h="6974" w:hRule="exact" w:wrap="around" w:x="1419" w:anchorLock="1"/>
      </w:pPr>
      <w:r>
        <w:rPr>
          <w:rFonts w:hint="eastAsia"/>
        </w:rPr>
        <w:t>工业企业绿色诊断指南</w:t>
      </w:r>
    </w:p>
    <w:p w14:paraId="1E12ACB4">
      <w:pPr>
        <w:pStyle w:val="197"/>
        <w:framePr w:h="6974" w:hRule="exact" w:wrap="around" w:x="1419" w:anchorLock="1"/>
        <w:rPr>
          <w:sz w:val="36"/>
          <w:szCs w:val="13"/>
        </w:rPr>
      </w:pPr>
      <w:r>
        <w:rPr>
          <w:sz w:val="36"/>
          <w:szCs w:val="13"/>
        </w:rPr>
        <w:t xml:space="preserve">Guide for Green </w:t>
      </w:r>
      <w:r>
        <w:rPr>
          <w:rFonts w:hint="eastAsia"/>
          <w:sz w:val="36"/>
          <w:szCs w:val="13"/>
        </w:rPr>
        <w:t>Diagnosis</w:t>
      </w:r>
      <w:r>
        <w:rPr>
          <w:sz w:val="36"/>
          <w:szCs w:val="13"/>
        </w:rPr>
        <w:t xml:space="preserve"> of Industrial Enterprises</w:t>
      </w:r>
    </w:p>
    <w:p w14:paraId="4D783095">
      <w:pPr>
        <w:framePr w:w="9639" w:h="6974" w:hRule="exact" w:wrap="around" w:vAnchor="page" w:hAnchor="page" w:x="1419" w:y="6408" w:anchorLock="1"/>
        <w:ind w:left="-1418"/>
      </w:pPr>
    </w:p>
    <w:p w14:paraId="16ECB101">
      <w:pPr>
        <w:pStyle w:val="125"/>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114F23EC">
      <w:pPr>
        <w:framePr w:w="9639" w:h="6974" w:hRule="exact" w:wrap="around" w:vAnchor="page" w:hAnchor="page" w:x="1419" w:y="6408" w:anchorLock="1"/>
        <w:spacing w:line="760" w:lineRule="exact"/>
        <w:ind w:left="-1418"/>
      </w:pPr>
    </w:p>
    <w:p w14:paraId="2421BCD3">
      <w:pPr>
        <w:pStyle w:val="125"/>
        <w:framePr w:w="9639" w:h="6974" w:hRule="exact" w:wrap="around" w:vAnchor="page" w:hAnchor="page" w:x="1419" w:y="6408" w:anchorLock="1"/>
        <w:textAlignment w:val="bottom"/>
        <w:rPr>
          <w:rFonts w:eastAsia="黑体"/>
          <w:szCs w:val="28"/>
        </w:rPr>
      </w:pPr>
    </w:p>
    <w:p w14:paraId="3D55A4F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rPr>
        <w:instrText xml:space="preserve"> FORMDROPDOWN </w:instrText>
      </w:r>
      <w:r>
        <w:rPr>
          <w:sz w:val="24"/>
          <w:szCs w:val="28"/>
        </w:rPr>
        <w:fldChar w:fldCharType="separate"/>
      </w:r>
      <w:r>
        <w:rPr>
          <w:sz w:val="24"/>
          <w:szCs w:val="28"/>
        </w:rPr>
        <w:fldChar w:fldCharType="end"/>
      </w:r>
      <w:bookmarkEnd w:id="4"/>
    </w:p>
    <w:p w14:paraId="19A5BDE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0672B5D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79B69CB1">
      <w:pPr>
        <w:pStyle w:val="193"/>
        <w:framePr w:wrap="around" w:y="14176"/>
      </w:pPr>
      <w:r>
        <w:rPr>
          <w:rFonts w:hint="eastAsia" w:ascii="黑体"/>
        </w:rPr>
        <w:t>2025</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6DA63D37">
      <w:pPr>
        <w:pStyle w:val="194"/>
        <w:framePr w:wrap="around" w:y="14176"/>
      </w:pPr>
      <w:r>
        <w:rPr>
          <w:rFonts w:hint="eastAsia" w:ascii="黑体"/>
        </w:rPr>
        <w:t>2025</w:t>
      </w:r>
      <w:r>
        <w:t xml:space="preserve"> </w:t>
      </w:r>
      <w:r>
        <w:rPr>
          <w:rFonts w:ascii="黑体"/>
        </w:rPr>
        <w:t>-</w:t>
      </w:r>
      <w:r>
        <w:rPr>
          <w:rFonts w:hint="eastAsia" w:ascii="黑体"/>
        </w:rPr>
        <w:t>XX</w:t>
      </w:r>
      <w:r>
        <w:rPr>
          <w:rFonts w:ascii="黑体"/>
        </w:rPr>
        <w:t>-</w:t>
      </w:r>
      <w:r>
        <w:t xml:space="preserve"> </w:t>
      </w:r>
      <w:r>
        <w:rPr>
          <w:rFonts w:hint="eastAsia" w:ascii="黑体"/>
        </w:rPr>
        <w:t>XX</w:t>
      </w:r>
      <w:r>
        <w:rPr>
          <w:rFonts w:hint="eastAsia"/>
        </w:rPr>
        <w:t>实施</w:t>
      </w:r>
    </w:p>
    <w:p w14:paraId="1D875E32">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D35575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26480C5">
      <w:pPr>
        <w:pStyle w:val="91"/>
        <w:spacing w:after="468"/>
      </w:pPr>
      <w:bookmarkStart w:id="8" w:name="BookMark1"/>
      <w:bookmarkStart w:id="9" w:name="_Toc119400638"/>
      <w:r>
        <w:rPr>
          <w:rFonts w:hint="eastAsia"/>
          <w:spacing w:val="320"/>
        </w:rPr>
        <w:t>目</w:t>
      </w:r>
      <w:r>
        <w:rPr>
          <w:rFonts w:hint="eastAsia"/>
        </w:rPr>
        <w:t>次</w:t>
      </w:r>
    </w:p>
    <w:p w14:paraId="54ACC93A">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"_Toc2139128328" </w:instrText>
      </w:r>
      <w:r>
        <w:fldChar w:fldCharType="separate"/>
      </w:r>
      <w:r>
        <w:rPr>
          <w:spacing w:val="320"/>
        </w:rPr>
        <w:t>前</w:t>
      </w:r>
      <w:r>
        <w:t>言</w:t>
      </w:r>
      <w:r>
        <w:tab/>
      </w:r>
      <w:r>
        <w:fldChar w:fldCharType="begin"/>
      </w:r>
      <w:r>
        <w:instrText xml:space="preserve"> PAGEREF _Toc2139128328 \h </w:instrText>
      </w:r>
      <w:r>
        <w:fldChar w:fldCharType="separate"/>
      </w:r>
      <w:r>
        <w:t>III</w:t>
      </w:r>
      <w:r>
        <w:fldChar w:fldCharType="end"/>
      </w:r>
      <w:r>
        <w:fldChar w:fldCharType="end"/>
      </w:r>
    </w:p>
    <w:p w14:paraId="03B090BD">
      <w:pPr>
        <w:pStyle w:val="19"/>
        <w:tabs>
          <w:tab w:val="right" w:leader="dot" w:pos="9354"/>
        </w:tabs>
      </w:pPr>
      <w:r>
        <w:fldChar w:fldCharType="begin"/>
      </w:r>
      <w:r>
        <w:instrText xml:space="preserve"> HYPERLINK \l "_Toc42905149" </w:instrText>
      </w:r>
      <w:r>
        <w:fldChar w:fldCharType="separate"/>
      </w:r>
      <w:r>
        <w:rPr>
          <w:rFonts w:hint="eastAsia"/>
          <w:spacing w:val="320"/>
        </w:rPr>
        <w:t>引</w:t>
      </w:r>
      <w:r>
        <w:t>言</w:t>
      </w:r>
      <w:r>
        <w:tab/>
      </w:r>
      <w:r>
        <w:fldChar w:fldCharType="begin"/>
      </w:r>
      <w:r>
        <w:instrText xml:space="preserve"> PAGEREF _Toc42905149 \h </w:instrText>
      </w:r>
      <w:r>
        <w:fldChar w:fldCharType="separate"/>
      </w:r>
      <w:r>
        <w:t>IV</w:t>
      </w:r>
      <w:r>
        <w:fldChar w:fldCharType="end"/>
      </w:r>
      <w:r>
        <w:fldChar w:fldCharType="end"/>
      </w:r>
    </w:p>
    <w:p w14:paraId="27AD4DE5">
      <w:pPr>
        <w:pStyle w:val="19"/>
        <w:tabs>
          <w:tab w:val="right" w:leader="dot" w:pos="9354"/>
        </w:tabs>
      </w:pPr>
      <w:r>
        <w:fldChar w:fldCharType="begin"/>
      </w:r>
      <w:r>
        <w:instrText xml:space="preserve"> HYPERLINK \l "_Toc5809278" </w:instrText>
      </w:r>
      <w:r>
        <w:fldChar w:fldCharType="separate"/>
      </w:r>
      <w:r>
        <w:rPr>
          <w:rFonts w:hint="eastAsia" w:ascii="黑体" w:eastAsia="黑体"/>
        </w:rPr>
        <w:t xml:space="preserve">1 </w:t>
      </w:r>
      <w:r>
        <w:rPr>
          <w:rFonts w:hint="eastAsia"/>
        </w:rPr>
        <w:t>范围</w:t>
      </w:r>
      <w:r>
        <w:tab/>
      </w:r>
      <w:r>
        <w:fldChar w:fldCharType="begin"/>
      </w:r>
      <w:r>
        <w:instrText xml:space="preserve"> PAGEREF _Toc5809278 \h </w:instrText>
      </w:r>
      <w:r>
        <w:fldChar w:fldCharType="separate"/>
      </w:r>
      <w:r>
        <w:t>5</w:t>
      </w:r>
      <w:r>
        <w:fldChar w:fldCharType="end"/>
      </w:r>
      <w:r>
        <w:fldChar w:fldCharType="end"/>
      </w:r>
    </w:p>
    <w:p w14:paraId="3E921C9D">
      <w:pPr>
        <w:pStyle w:val="19"/>
        <w:tabs>
          <w:tab w:val="right" w:leader="dot" w:pos="9354"/>
        </w:tabs>
      </w:pPr>
      <w:r>
        <w:fldChar w:fldCharType="begin"/>
      </w:r>
      <w:r>
        <w:instrText xml:space="preserve"> HYPERLINK \l "_Toc1944920743"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_Toc1944920743 \h </w:instrText>
      </w:r>
      <w:r>
        <w:fldChar w:fldCharType="separate"/>
      </w:r>
      <w:r>
        <w:t>5</w:t>
      </w:r>
      <w:r>
        <w:fldChar w:fldCharType="end"/>
      </w:r>
      <w:r>
        <w:fldChar w:fldCharType="end"/>
      </w:r>
    </w:p>
    <w:p w14:paraId="06608563">
      <w:pPr>
        <w:pStyle w:val="19"/>
        <w:tabs>
          <w:tab w:val="right" w:leader="dot" w:pos="9354"/>
        </w:tabs>
      </w:pPr>
      <w:r>
        <w:fldChar w:fldCharType="begin"/>
      </w:r>
      <w:r>
        <w:instrText xml:space="preserve"> HYPERLINK \l "_Toc420642199" </w:instrText>
      </w:r>
      <w:r>
        <w:fldChar w:fldCharType="separate"/>
      </w:r>
      <w:r>
        <w:rPr>
          <w:rFonts w:hint="eastAsia" w:ascii="黑体" w:hAnsi="黑体" w:eastAsia="黑体"/>
        </w:rPr>
        <w:t xml:space="preserve">3 </w:t>
      </w:r>
      <w:r>
        <w:rPr>
          <w:rFonts w:hint="eastAsia"/>
        </w:rPr>
        <w:t>术语和定义</w:t>
      </w:r>
      <w:r>
        <w:tab/>
      </w:r>
      <w:r>
        <w:fldChar w:fldCharType="begin"/>
      </w:r>
      <w:r>
        <w:instrText xml:space="preserve"> PAGEREF _Toc420642199 \h </w:instrText>
      </w:r>
      <w:r>
        <w:fldChar w:fldCharType="separate"/>
      </w:r>
      <w:r>
        <w:t>5</w:t>
      </w:r>
      <w:r>
        <w:fldChar w:fldCharType="end"/>
      </w:r>
      <w:r>
        <w:fldChar w:fldCharType="end"/>
      </w:r>
    </w:p>
    <w:p w14:paraId="3FE9CBFB">
      <w:pPr>
        <w:pStyle w:val="24"/>
        <w:tabs>
          <w:tab w:val="right" w:leader="dot" w:pos="9354"/>
          <w:tab w:val="clear" w:pos="9344"/>
        </w:tabs>
      </w:pPr>
      <w:r>
        <w:fldChar w:fldCharType="begin"/>
      </w:r>
      <w:r>
        <w:instrText xml:space="preserve"> HYPERLINK \l "_Toc2045915536" </w:instrText>
      </w:r>
      <w:r>
        <w:fldChar w:fldCharType="separate"/>
      </w:r>
      <w:r>
        <w:rPr>
          <w:rFonts w:hint="eastAsia" w:ascii="黑体" w:hAnsi="黑体" w:eastAsia="黑体"/>
          <w:kern w:val="0"/>
          <w14:scene3d>
            <w14:lightRig w14:rig="threePt" w14:dir="t">
              <w14:rot w14:lat="0" w14:lon="0" w14:rev="0"/>
            </w14:lightRig>
          </w14:scene3d>
        </w:rPr>
        <w:t xml:space="preserve">3.1 </w:t>
      </w:r>
      <w:r>
        <w:rPr>
          <w:rFonts w:hint="eastAsia"/>
        </w:rPr>
        <w:t xml:space="preserve">绿色诊断  </w:t>
      </w:r>
      <w:r>
        <w:rPr>
          <w:rFonts w:hint="eastAsia"/>
          <w:lang w:val="en-US" w:eastAsia="zh-CN"/>
        </w:rPr>
        <w:t>.</w:t>
      </w:r>
      <w:bookmarkStart w:id="107" w:name="_GoBack"/>
      <w:bookmarkEnd w:id="107"/>
      <w:r>
        <w:rPr>
          <w:rFonts w:hint="eastAsia"/>
          <w:lang w:val="en-US" w:eastAsia="zh-CN"/>
        </w:rPr>
        <w:t>......</w:t>
      </w:r>
      <w:r>
        <w:tab/>
      </w:r>
      <w:r>
        <w:fldChar w:fldCharType="begin"/>
      </w:r>
      <w:r>
        <w:instrText xml:space="preserve"> PAGEREF _Toc2045915536 \h </w:instrText>
      </w:r>
      <w:r>
        <w:fldChar w:fldCharType="separate"/>
      </w:r>
      <w:r>
        <w:t>5</w:t>
      </w:r>
      <w:r>
        <w:fldChar w:fldCharType="end"/>
      </w:r>
      <w:r>
        <w:fldChar w:fldCharType="end"/>
      </w:r>
    </w:p>
    <w:p w14:paraId="07432BB0">
      <w:pPr>
        <w:pStyle w:val="24"/>
        <w:tabs>
          <w:tab w:val="right" w:leader="dot" w:pos="9354"/>
          <w:tab w:val="clear" w:pos="9344"/>
        </w:tabs>
      </w:pPr>
      <w:r>
        <w:fldChar w:fldCharType="begin"/>
      </w:r>
      <w:r>
        <w:instrText xml:space="preserve"> HYPERLINK \l "_Toc1884862998" </w:instrText>
      </w:r>
      <w:r>
        <w:fldChar w:fldCharType="separate"/>
      </w:r>
      <w:r>
        <w:rPr>
          <w:rFonts w:hint="eastAsia" w:ascii="黑体" w:hAnsi="黑体" w:eastAsia="黑体"/>
          <w:kern w:val="0"/>
          <w14:scene3d>
            <w14:lightRig w14:rig="threePt" w14:dir="t">
              <w14:rot w14:lat="0" w14:lon="0" w14:rev="0"/>
            </w14:lightRig>
          </w14:scene3d>
        </w:rPr>
        <w:t xml:space="preserve">3.2 </w:t>
      </w:r>
      <w:r>
        <w:rPr>
          <w:rFonts w:hint="eastAsia"/>
        </w:rPr>
        <w:t xml:space="preserve">生态设计  </w:t>
      </w:r>
      <w:r>
        <w:rPr>
          <w:rFonts w:hint="eastAsia"/>
          <w:lang w:val="en-US" w:eastAsia="zh-CN"/>
        </w:rPr>
        <w:t>.....</w:t>
      </w:r>
      <w:r>
        <w:tab/>
      </w:r>
      <w:r>
        <w:fldChar w:fldCharType="begin"/>
      </w:r>
      <w:r>
        <w:instrText xml:space="preserve"> PAGEREF _Toc1884862998 \h </w:instrText>
      </w:r>
      <w:r>
        <w:fldChar w:fldCharType="separate"/>
      </w:r>
      <w:r>
        <w:t>6</w:t>
      </w:r>
      <w:r>
        <w:fldChar w:fldCharType="end"/>
      </w:r>
      <w:r>
        <w:fldChar w:fldCharType="end"/>
      </w:r>
    </w:p>
    <w:p w14:paraId="36EFA7B3">
      <w:pPr>
        <w:pStyle w:val="24"/>
        <w:tabs>
          <w:tab w:val="right" w:leader="dot" w:pos="9354"/>
          <w:tab w:val="clear" w:pos="9344"/>
        </w:tabs>
      </w:pPr>
      <w:r>
        <w:fldChar w:fldCharType="begin"/>
      </w:r>
      <w:r>
        <w:instrText xml:space="preserve"> HYPERLINK \l "_Toc1929955881" </w:instrText>
      </w:r>
      <w:r>
        <w:fldChar w:fldCharType="separate"/>
      </w:r>
      <w:r>
        <w:rPr>
          <w:rFonts w:hint="eastAsia" w:ascii="黑体" w:hAnsi="黑体" w:eastAsia="黑体"/>
          <w:kern w:val="0"/>
          <w14:scene3d>
            <w14:lightRig w14:rig="threePt" w14:dir="t">
              <w14:rot w14:lat="0" w14:lon="0" w14:rev="0"/>
            </w14:lightRig>
          </w14:scene3d>
        </w:rPr>
        <w:t xml:space="preserve">3.3 </w:t>
      </w:r>
      <w:r>
        <w:t>绿色产品</w:t>
      </w:r>
      <w:r>
        <w:rPr>
          <w:rFonts w:hint="eastAsia"/>
        </w:rPr>
        <w:t xml:space="preserve"> </w:t>
      </w:r>
      <w:r>
        <w:rPr>
          <w:rFonts w:hint="eastAsia"/>
          <w:lang w:val="en-US" w:eastAsia="zh-CN"/>
        </w:rPr>
        <w:t>..</w:t>
      </w:r>
      <w:r>
        <w:tab/>
      </w:r>
      <w:r>
        <w:fldChar w:fldCharType="begin"/>
      </w:r>
      <w:r>
        <w:instrText xml:space="preserve"> PAGEREF _Toc1929955881 \h </w:instrText>
      </w:r>
      <w:r>
        <w:fldChar w:fldCharType="separate"/>
      </w:r>
      <w:r>
        <w:t>6</w:t>
      </w:r>
      <w:r>
        <w:fldChar w:fldCharType="end"/>
      </w:r>
      <w:r>
        <w:fldChar w:fldCharType="end"/>
      </w:r>
    </w:p>
    <w:p w14:paraId="230150AD">
      <w:pPr>
        <w:pStyle w:val="19"/>
        <w:tabs>
          <w:tab w:val="right" w:leader="dot" w:pos="9354"/>
        </w:tabs>
      </w:pPr>
      <w:r>
        <w:fldChar w:fldCharType="begin"/>
      </w:r>
      <w:r>
        <w:instrText xml:space="preserve"> HYPERLINK \l "_Toc1680853267" </w:instrText>
      </w:r>
      <w:r>
        <w:fldChar w:fldCharType="separate"/>
      </w:r>
      <w:r>
        <w:rPr>
          <w:rFonts w:hint="eastAsia" w:ascii="黑体" w:eastAsia="黑体"/>
        </w:rPr>
        <w:t xml:space="preserve">4 </w:t>
      </w:r>
      <w:r>
        <w:rPr>
          <w:rFonts w:hint="eastAsia"/>
        </w:rPr>
        <w:t>诊断原则</w:t>
      </w:r>
      <w:r>
        <w:tab/>
      </w:r>
      <w:r>
        <w:fldChar w:fldCharType="begin"/>
      </w:r>
      <w:r>
        <w:instrText xml:space="preserve"> PAGEREF _Toc1680853267 \h </w:instrText>
      </w:r>
      <w:r>
        <w:fldChar w:fldCharType="separate"/>
      </w:r>
      <w:r>
        <w:t>6</w:t>
      </w:r>
      <w:r>
        <w:fldChar w:fldCharType="end"/>
      </w:r>
      <w:r>
        <w:fldChar w:fldCharType="end"/>
      </w:r>
    </w:p>
    <w:p w14:paraId="0480BDBD">
      <w:pPr>
        <w:pStyle w:val="24"/>
        <w:tabs>
          <w:tab w:val="right" w:leader="dot" w:pos="9354"/>
          <w:tab w:val="clear" w:pos="9344"/>
        </w:tabs>
      </w:pPr>
      <w:r>
        <w:fldChar w:fldCharType="begin"/>
      </w:r>
      <w:r>
        <w:instrText xml:space="preserve"> HYPERLINK \l "_Toc563810717" </w:instrText>
      </w:r>
      <w:r>
        <w:fldChar w:fldCharType="separate"/>
      </w:r>
      <w:r>
        <w:rPr>
          <w:rFonts w:hint="eastAsia" w:ascii="黑体" w:hAnsi="黑体" w:eastAsia="黑体"/>
          <w:kern w:val="0"/>
          <w14:scene3d>
            <w14:lightRig w14:rig="threePt" w14:dir="t">
              <w14:rot w14:lat="0" w14:lon="0" w14:rev="0"/>
            </w14:lightRig>
          </w14:scene3d>
        </w:rPr>
        <w:t xml:space="preserve">4.1 </w:t>
      </w:r>
      <w:r>
        <w:rPr>
          <w:rFonts w:hint="eastAsia"/>
        </w:rPr>
        <w:t>专业性</w:t>
      </w:r>
      <w:r>
        <w:tab/>
      </w:r>
      <w:r>
        <w:fldChar w:fldCharType="begin"/>
      </w:r>
      <w:r>
        <w:instrText xml:space="preserve"> PAGEREF _Toc563810717 \h </w:instrText>
      </w:r>
      <w:r>
        <w:fldChar w:fldCharType="separate"/>
      </w:r>
      <w:r>
        <w:t>6</w:t>
      </w:r>
      <w:r>
        <w:fldChar w:fldCharType="end"/>
      </w:r>
      <w:r>
        <w:fldChar w:fldCharType="end"/>
      </w:r>
    </w:p>
    <w:p w14:paraId="59FBBAAC">
      <w:pPr>
        <w:pStyle w:val="24"/>
        <w:tabs>
          <w:tab w:val="right" w:leader="dot" w:pos="9354"/>
          <w:tab w:val="clear" w:pos="9344"/>
        </w:tabs>
      </w:pPr>
      <w:r>
        <w:fldChar w:fldCharType="begin"/>
      </w:r>
      <w:r>
        <w:instrText xml:space="preserve"> HYPERLINK \l "_Toc465117458" </w:instrText>
      </w:r>
      <w:r>
        <w:fldChar w:fldCharType="separate"/>
      </w:r>
      <w:r>
        <w:rPr>
          <w:rFonts w:hint="eastAsia" w:ascii="黑体" w:hAnsi="黑体" w:eastAsia="黑体"/>
          <w:kern w:val="0"/>
          <w14:scene3d>
            <w14:lightRig w14:rig="threePt" w14:dir="t">
              <w14:rot w14:lat="0" w14:lon="0" w14:rev="0"/>
            </w14:lightRig>
          </w14:scene3d>
        </w:rPr>
        <w:t xml:space="preserve">4.2 </w:t>
      </w:r>
      <w:r>
        <w:rPr>
          <w:rFonts w:hint="eastAsia"/>
        </w:rPr>
        <w:t>系统性</w:t>
      </w:r>
      <w:r>
        <w:tab/>
      </w:r>
      <w:r>
        <w:fldChar w:fldCharType="begin"/>
      </w:r>
      <w:r>
        <w:instrText xml:space="preserve"> PAGEREF _Toc465117458 \h </w:instrText>
      </w:r>
      <w:r>
        <w:fldChar w:fldCharType="separate"/>
      </w:r>
      <w:r>
        <w:t>6</w:t>
      </w:r>
      <w:r>
        <w:fldChar w:fldCharType="end"/>
      </w:r>
      <w:r>
        <w:fldChar w:fldCharType="end"/>
      </w:r>
    </w:p>
    <w:p w14:paraId="29354F79">
      <w:pPr>
        <w:pStyle w:val="24"/>
        <w:tabs>
          <w:tab w:val="right" w:leader="dot" w:pos="9354"/>
          <w:tab w:val="clear" w:pos="9344"/>
        </w:tabs>
      </w:pPr>
      <w:r>
        <w:fldChar w:fldCharType="begin"/>
      </w:r>
      <w:r>
        <w:instrText xml:space="preserve"> HYPERLINK \l "_Toc2055438334" </w:instrText>
      </w:r>
      <w:r>
        <w:fldChar w:fldCharType="separate"/>
      </w:r>
      <w:r>
        <w:rPr>
          <w:rFonts w:hint="eastAsia" w:ascii="黑体" w:hAnsi="黑体" w:eastAsia="黑体"/>
          <w:kern w:val="0"/>
          <w14:scene3d>
            <w14:lightRig w14:rig="threePt" w14:dir="t">
              <w14:rot w14:lat="0" w14:lon="0" w14:rev="0"/>
            </w14:lightRig>
          </w14:scene3d>
        </w:rPr>
        <w:t xml:space="preserve">4.3 </w:t>
      </w:r>
      <w:r>
        <w:rPr>
          <w:rFonts w:hint="eastAsia"/>
        </w:rPr>
        <w:t>独立性</w:t>
      </w:r>
      <w:r>
        <w:tab/>
      </w:r>
      <w:r>
        <w:fldChar w:fldCharType="begin"/>
      </w:r>
      <w:r>
        <w:instrText xml:space="preserve"> PAGEREF _Toc2055438334 \h </w:instrText>
      </w:r>
      <w:r>
        <w:fldChar w:fldCharType="separate"/>
      </w:r>
      <w:r>
        <w:t>6</w:t>
      </w:r>
      <w:r>
        <w:fldChar w:fldCharType="end"/>
      </w:r>
      <w:r>
        <w:fldChar w:fldCharType="end"/>
      </w:r>
    </w:p>
    <w:p w14:paraId="7D369983">
      <w:pPr>
        <w:pStyle w:val="24"/>
        <w:tabs>
          <w:tab w:val="right" w:leader="dot" w:pos="9354"/>
          <w:tab w:val="clear" w:pos="9344"/>
        </w:tabs>
      </w:pPr>
      <w:r>
        <w:fldChar w:fldCharType="begin"/>
      </w:r>
      <w:r>
        <w:instrText xml:space="preserve"> HYPERLINK \l "_Toc346887071" </w:instrText>
      </w:r>
      <w:r>
        <w:fldChar w:fldCharType="separate"/>
      </w:r>
      <w:r>
        <w:rPr>
          <w:rFonts w:hint="eastAsia" w:ascii="黑体" w:hAnsi="黑体" w:eastAsia="黑体"/>
          <w:kern w:val="0"/>
          <w14:scene3d>
            <w14:lightRig w14:rig="threePt" w14:dir="t">
              <w14:rot w14:lat="0" w14:lon="0" w14:rev="0"/>
            </w14:lightRig>
          </w14:scene3d>
        </w:rPr>
        <w:t xml:space="preserve">4.4 </w:t>
      </w:r>
      <w:r>
        <w:rPr>
          <w:rFonts w:hint="eastAsia"/>
        </w:rPr>
        <w:t>实操性</w:t>
      </w:r>
      <w:r>
        <w:tab/>
      </w:r>
      <w:r>
        <w:fldChar w:fldCharType="begin"/>
      </w:r>
      <w:r>
        <w:instrText xml:space="preserve"> PAGEREF _Toc346887071 \h </w:instrText>
      </w:r>
      <w:r>
        <w:fldChar w:fldCharType="separate"/>
      </w:r>
      <w:r>
        <w:t>6</w:t>
      </w:r>
      <w:r>
        <w:fldChar w:fldCharType="end"/>
      </w:r>
      <w:r>
        <w:fldChar w:fldCharType="end"/>
      </w:r>
    </w:p>
    <w:p w14:paraId="32AC3E83">
      <w:pPr>
        <w:pStyle w:val="24"/>
        <w:tabs>
          <w:tab w:val="right" w:leader="dot" w:pos="9354"/>
          <w:tab w:val="clear" w:pos="9344"/>
        </w:tabs>
      </w:pPr>
      <w:r>
        <w:fldChar w:fldCharType="begin"/>
      </w:r>
      <w:r>
        <w:instrText xml:space="preserve"> HYPERLINK \l "_Toc2072250895" </w:instrText>
      </w:r>
      <w:r>
        <w:fldChar w:fldCharType="separate"/>
      </w:r>
      <w:r>
        <w:rPr>
          <w:rFonts w:hint="eastAsia" w:ascii="黑体" w:hAnsi="黑体" w:eastAsia="黑体"/>
          <w:kern w:val="0"/>
          <w14:scene3d>
            <w14:lightRig w14:rig="threePt" w14:dir="t">
              <w14:rot w14:lat="0" w14:lon="0" w14:rev="0"/>
            </w14:lightRig>
          </w14:scene3d>
        </w:rPr>
        <w:t xml:space="preserve">4.5 </w:t>
      </w:r>
      <w:r>
        <w:rPr>
          <w:rFonts w:hint="eastAsia"/>
        </w:rPr>
        <w:t>可追溯性</w:t>
      </w:r>
      <w:r>
        <w:tab/>
      </w:r>
      <w:r>
        <w:fldChar w:fldCharType="begin"/>
      </w:r>
      <w:r>
        <w:instrText xml:space="preserve"> PAGEREF _Toc2072250895 \h </w:instrText>
      </w:r>
      <w:r>
        <w:fldChar w:fldCharType="separate"/>
      </w:r>
      <w:r>
        <w:t>6</w:t>
      </w:r>
      <w:r>
        <w:fldChar w:fldCharType="end"/>
      </w:r>
      <w:r>
        <w:fldChar w:fldCharType="end"/>
      </w:r>
    </w:p>
    <w:p w14:paraId="14E6EE40">
      <w:pPr>
        <w:pStyle w:val="19"/>
        <w:tabs>
          <w:tab w:val="right" w:leader="dot" w:pos="9354"/>
        </w:tabs>
      </w:pPr>
      <w:r>
        <w:fldChar w:fldCharType="begin"/>
      </w:r>
      <w:r>
        <w:instrText xml:space="preserve"> HYPERLINK \l "_Toc726387491" </w:instrText>
      </w:r>
      <w:r>
        <w:fldChar w:fldCharType="separate"/>
      </w:r>
      <w:r>
        <w:rPr>
          <w:rFonts w:hint="eastAsia" w:ascii="黑体" w:eastAsia="黑体"/>
        </w:rPr>
        <w:t xml:space="preserve">5 </w:t>
      </w:r>
      <w:r>
        <w:rPr>
          <w:rFonts w:hint="eastAsia"/>
        </w:rPr>
        <w:t>诊断程序</w:t>
      </w:r>
      <w:r>
        <w:tab/>
      </w:r>
      <w:r>
        <w:fldChar w:fldCharType="begin"/>
      </w:r>
      <w:r>
        <w:instrText xml:space="preserve"> PAGEREF _Toc726387491 \h </w:instrText>
      </w:r>
      <w:r>
        <w:fldChar w:fldCharType="separate"/>
      </w:r>
      <w:r>
        <w:t>6</w:t>
      </w:r>
      <w:r>
        <w:fldChar w:fldCharType="end"/>
      </w:r>
      <w:r>
        <w:fldChar w:fldCharType="end"/>
      </w:r>
    </w:p>
    <w:p w14:paraId="7A4ECBBD">
      <w:pPr>
        <w:pStyle w:val="24"/>
        <w:tabs>
          <w:tab w:val="right" w:leader="dot" w:pos="9354"/>
          <w:tab w:val="clear" w:pos="9344"/>
        </w:tabs>
      </w:pPr>
      <w:r>
        <w:fldChar w:fldCharType="begin"/>
      </w:r>
      <w:r>
        <w:instrText xml:space="preserve"> HYPERLINK \l "_Toc1558777349" </w:instrText>
      </w:r>
      <w:r>
        <w:fldChar w:fldCharType="separate"/>
      </w:r>
      <w:r>
        <w:rPr>
          <w:rFonts w:hint="eastAsia" w:ascii="黑体" w:hAnsi="黑体" w:eastAsia="黑体"/>
          <w:kern w:val="0"/>
          <w14:scene3d>
            <w14:lightRig w14:rig="threePt" w14:dir="t">
              <w14:rot w14:lat="0" w14:lon="0" w14:rev="0"/>
            </w14:lightRig>
          </w14:scene3d>
        </w:rPr>
        <w:t xml:space="preserve">5.1 </w:t>
      </w:r>
      <w:r>
        <w:rPr>
          <w:rFonts w:hint="eastAsia"/>
        </w:rPr>
        <w:t>确定诊断任务</w:t>
      </w:r>
      <w:r>
        <w:tab/>
      </w:r>
      <w:r>
        <w:fldChar w:fldCharType="begin"/>
      </w:r>
      <w:r>
        <w:instrText xml:space="preserve"> PAGEREF _Toc1558777349 \h </w:instrText>
      </w:r>
      <w:r>
        <w:fldChar w:fldCharType="separate"/>
      </w:r>
      <w:r>
        <w:t>6</w:t>
      </w:r>
      <w:r>
        <w:fldChar w:fldCharType="end"/>
      </w:r>
      <w:r>
        <w:fldChar w:fldCharType="end"/>
      </w:r>
    </w:p>
    <w:p w14:paraId="3BEAFE3B">
      <w:pPr>
        <w:pStyle w:val="24"/>
        <w:tabs>
          <w:tab w:val="right" w:leader="dot" w:pos="9354"/>
          <w:tab w:val="clear" w:pos="9344"/>
        </w:tabs>
      </w:pPr>
      <w:r>
        <w:fldChar w:fldCharType="begin"/>
      </w:r>
      <w:r>
        <w:instrText xml:space="preserve"> HYPERLINK \l "_Toc1980088101" </w:instrText>
      </w:r>
      <w:r>
        <w:fldChar w:fldCharType="separate"/>
      </w:r>
      <w:r>
        <w:rPr>
          <w:rFonts w:hint="eastAsia" w:ascii="黑体" w:hAnsi="黑体" w:eastAsia="黑体"/>
          <w:kern w:val="0"/>
          <w14:scene3d>
            <w14:lightRig w14:rig="threePt" w14:dir="t">
              <w14:rot w14:lat="0" w14:lon="0" w14:rev="0"/>
            </w14:lightRig>
          </w14:scene3d>
        </w:rPr>
        <w:t xml:space="preserve">5.2 </w:t>
      </w:r>
      <w:r>
        <w:rPr>
          <w:rFonts w:hint="eastAsia"/>
        </w:rPr>
        <w:t>诊断准备</w:t>
      </w:r>
      <w:r>
        <w:tab/>
      </w:r>
      <w:r>
        <w:fldChar w:fldCharType="begin"/>
      </w:r>
      <w:r>
        <w:instrText xml:space="preserve"> PAGEREF _Toc1980088101 \h </w:instrText>
      </w:r>
      <w:r>
        <w:fldChar w:fldCharType="separate"/>
      </w:r>
      <w:r>
        <w:t>7</w:t>
      </w:r>
      <w:r>
        <w:fldChar w:fldCharType="end"/>
      </w:r>
      <w:r>
        <w:fldChar w:fldCharType="end"/>
      </w:r>
    </w:p>
    <w:p w14:paraId="4127FEEA">
      <w:pPr>
        <w:pStyle w:val="24"/>
        <w:tabs>
          <w:tab w:val="right" w:leader="dot" w:pos="9354"/>
          <w:tab w:val="clear" w:pos="9344"/>
        </w:tabs>
      </w:pPr>
      <w:r>
        <w:fldChar w:fldCharType="begin"/>
      </w:r>
      <w:r>
        <w:instrText xml:space="preserve"> HYPERLINK \l "_Toc338405426" </w:instrText>
      </w:r>
      <w:r>
        <w:fldChar w:fldCharType="separate"/>
      </w:r>
      <w:r>
        <w:rPr>
          <w:rFonts w:hint="eastAsia" w:ascii="黑体" w:hAnsi="黑体" w:eastAsia="黑体"/>
          <w:kern w:val="0"/>
          <w14:scene3d>
            <w14:lightRig w14:rig="threePt" w14:dir="t">
              <w14:rot w14:lat="0" w14:lon="0" w14:rev="0"/>
            </w14:lightRig>
          </w14:scene3d>
        </w:rPr>
        <w:t xml:space="preserve">5.3 </w:t>
      </w:r>
      <w:r>
        <w:rPr>
          <w:rFonts w:hint="eastAsia"/>
        </w:rPr>
        <w:t>现场诊断</w:t>
      </w:r>
      <w:r>
        <w:tab/>
      </w:r>
      <w:r>
        <w:fldChar w:fldCharType="begin"/>
      </w:r>
      <w:r>
        <w:instrText xml:space="preserve"> PAGEREF _Toc338405426 \h </w:instrText>
      </w:r>
      <w:r>
        <w:fldChar w:fldCharType="separate"/>
      </w:r>
      <w:r>
        <w:t>7</w:t>
      </w:r>
      <w:r>
        <w:fldChar w:fldCharType="end"/>
      </w:r>
      <w:r>
        <w:fldChar w:fldCharType="end"/>
      </w:r>
    </w:p>
    <w:p w14:paraId="366B3CE9">
      <w:pPr>
        <w:pStyle w:val="24"/>
        <w:tabs>
          <w:tab w:val="right" w:leader="dot" w:pos="9354"/>
          <w:tab w:val="clear" w:pos="9344"/>
        </w:tabs>
      </w:pPr>
      <w:r>
        <w:fldChar w:fldCharType="begin"/>
      </w:r>
      <w:r>
        <w:instrText xml:space="preserve"> HYPERLINK \l "_Toc1412016312" </w:instrText>
      </w:r>
      <w:r>
        <w:fldChar w:fldCharType="separate"/>
      </w:r>
      <w:r>
        <w:rPr>
          <w:rFonts w:hint="eastAsia" w:ascii="黑体" w:hAnsi="黑体" w:eastAsia="黑体"/>
          <w:kern w:val="0"/>
          <w14:scene3d>
            <w14:lightRig w14:rig="threePt" w14:dir="t">
              <w14:rot w14:lat="0" w14:lon="0" w14:rev="0"/>
            </w14:lightRig>
          </w14:scene3d>
        </w:rPr>
        <w:t xml:space="preserve">5.4 </w:t>
      </w:r>
      <w:r>
        <w:rPr>
          <w:rFonts w:hint="eastAsia"/>
        </w:rPr>
        <w:t>报告编写</w:t>
      </w:r>
      <w:r>
        <w:tab/>
      </w:r>
      <w:r>
        <w:fldChar w:fldCharType="begin"/>
      </w:r>
      <w:r>
        <w:instrText xml:space="preserve"> PAGEREF _Toc1412016312 \h </w:instrText>
      </w:r>
      <w:r>
        <w:fldChar w:fldCharType="separate"/>
      </w:r>
      <w:r>
        <w:t>8</w:t>
      </w:r>
      <w:r>
        <w:fldChar w:fldCharType="end"/>
      </w:r>
      <w:r>
        <w:fldChar w:fldCharType="end"/>
      </w:r>
    </w:p>
    <w:p w14:paraId="4B0C91AF">
      <w:pPr>
        <w:pStyle w:val="19"/>
        <w:tabs>
          <w:tab w:val="right" w:leader="dot" w:pos="9354"/>
        </w:tabs>
      </w:pPr>
      <w:r>
        <w:fldChar w:fldCharType="begin"/>
      </w:r>
      <w:r>
        <w:instrText xml:space="preserve"> HYPERLINK \l "_Toc214213600" </w:instrText>
      </w:r>
      <w:r>
        <w:fldChar w:fldCharType="separate"/>
      </w:r>
      <w:r>
        <w:rPr>
          <w:rFonts w:hint="eastAsia" w:ascii="黑体" w:eastAsia="黑体"/>
        </w:rPr>
        <w:t xml:space="preserve">6 </w:t>
      </w:r>
      <w:r>
        <w:rPr>
          <w:rFonts w:hint="eastAsia"/>
        </w:rPr>
        <w:t>诊断内容</w:t>
      </w:r>
      <w:r>
        <w:tab/>
      </w:r>
      <w:r>
        <w:fldChar w:fldCharType="begin"/>
      </w:r>
      <w:r>
        <w:instrText xml:space="preserve"> PAGEREF _Toc214213600 \h </w:instrText>
      </w:r>
      <w:r>
        <w:fldChar w:fldCharType="separate"/>
      </w:r>
      <w:r>
        <w:t>8</w:t>
      </w:r>
      <w:r>
        <w:fldChar w:fldCharType="end"/>
      </w:r>
      <w:r>
        <w:fldChar w:fldCharType="end"/>
      </w:r>
    </w:p>
    <w:p w14:paraId="3C3DB4A6">
      <w:pPr>
        <w:pStyle w:val="24"/>
        <w:tabs>
          <w:tab w:val="right" w:leader="dot" w:pos="9354"/>
          <w:tab w:val="clear" w:pos="9344"/>
        </w:tabs>
      </w:pPr>
      <w:r>
        <w:fldChar w:fldCharType="begin"/>
      </w:r>
      <w:r>
        <w:instrText xml:space="preserve"> HYPERLINK \l "_Toc193944930" </w:instrText>
      </w:r>
      <w:r>
        <w:fldChar w:fldCharType="separate"/>
      </w:r>
      <w:r>
        <w:rPr>
          <w:rFonts w:hint="eastAsia" w:ascii="黑体" w:hAnsi="黑体" w:eastAsia="黑体"/>
          <w:kern w:val="0"/>
          <w14:scene3d>
            <w14:lightRig w14:rig="threePt" w14:dir="t">
              <w14:rot w14:lat="0" w14:lon="0" w14:rev="0"/>
            </w14:lightRig>
          </w14:scene3d>
        </w:rPr>
        <w:t xml:space="preserve">6.1 </w:t>
      </w:r>
      <w:r>
        <w:rPr>
          <w:rFonts w:hint="eastAsia"/>
        </w:rPr>
        <w:t>基础设施诊断</w:t>
      </w:r>
      <w:r>
        <w:tab/>
      </w:r>
      <w:r>
        <w:fldChar w:fldCharType="begin"/>
      </w:r>
      <w:r>
        <w:instrText xml:space="preserve"> PAGEREF _Toc193944930 \h </w:instrText>
      </w:r>
      <w:r>
        <w:fldChar w:fldCharType="separate"/>
      </w:r>
      <w:r>
        <w:t>8</w:t>
      </w:r>
      <w:r>
        <w:fldChar w:fldCharType="end"/>
      </w:r>
      <w:r>
        <w:fldChar w:fldCharType="end"/>
      </w:r>
    </w:p>
    <w:p w14:paraId="2648287C">
      <w:pPr>
        <w:pStyle w:val="24"/>
        <w:tabs>
          <w:tab w:val="right" w:leader="dot" w:pos="9354"/>
          <w:tab w:val="clear" w:pos="9344"/>
        </w:tabs>
      </w:pPr>
      <w:r>
        <w:fldChar w:fldCharType="begin"/>
      </w:r>
      <w:r>
        <w:instrText xml:space="preserve"> HYPERLINK \l "_Toc1154149187" </w:instrText>
      </w:r>
      <w:r>
        <w:fldChar w:fldCharType="separate"/>
      </w:r>
      <w:r>
        <w:rPr>
          <w:rFonts w:hint="eastAsia" w:ascii="黑体" w:hAnsi="黑体" w:eastAsia="黑体"/>
          <w:kern w:val="0"/>
          <w14:scene3d>
            <w14:lightRig w14:rig="threePt" w14:dir="t">
              <w14:rot w14:lat="0" w14:lon="0" w14:rev="0"/>
            </w14:lightRig>
          </w14:scene3d>
        </w:rPr>
        <w:t xml:space="preserve">6.2 </w:t>
      </w:r>
      <w:r>
        <w:rPr>
          <w:rFonts w:hint="eastAsia"/>
        </w:rPr>
        <w:t>绿色管理诊断</w:t>
      </w:r>
      <w:r>
        <w:tab/>
      </w:r>
      <w:r>
        <w:fldChar w:fldCharType="begin"/>
      </w:r>
      <w:r>
        <w:instrText xml:space="preserve"> PAGEREF _Toc1154149187 \h </w:instrText>
      </w:r>
      <w:r>
        <w:fldChar w:fldCharType="separate"/>
      </w:r>
      <w:r>
        <w:t>9</w:t>
      </w:r>
      <w:r>
        <w:fldChar w:fldCharType="end"/>
      </w:r>
      <w:r>
        <w:fldChar w:fldCharType="end"/>
      </w:r>
    </w:p>
    <w:p w14:paraId="3945F144">
      <w:pPr>
        <w:pStyle w:val="24"/>
        <w:tabs>
          <w:tab w:val="right" w:leader="dot" w:pos="9354"/>
          <w:tab w:val="clear" w:pos="9344"/>
        </w:tabs>
      </w:pPr>
      <w:r>
        <w:fldChar w:fldCharType="begin"/>
      </w:r>
      <w:r>
        <w:instrText xml:space="preserve"> HYPERLINK \l "_Toc1718979811" </w:instrText>
      </w:r>
      <w:r>
        <w:fldChar w:fldCharType="separate"/>
      </w:r>
      <w:r>
        <w:rPr>
          <w:rFonts w:hint="eastAsia" w:ascii="黑体" w:hAnsi="黑体" w:eastAsia="黑体"/>
          <w:kern w:val="0"/>
          <w14:scene3d>
            <w14:lightRig w14:rig="threePt" w14:dir="t">
              <w14:rot w14:lat="0" w14:lon="0" w14:rev="0"/>
            </w14:lightRig>
          </w14:scene3d>
        </w:rPr>
        <w:t xml:space="preserve">6.3 </w:t>
      </w:r>
      <w:r>
        <w:rPr>
          <w:rFonts w:hint="eastAsia"/>
        </w:rPr>
        <w:t>用能设备诊断</w:t>
      </w:r>
      <w:r>
        <w:tab/>
      </w:r>
      <w:r>
        <w:fldChar w:fldCharType="begin"/>
      </w:r>
      <w:r>
        <w:instrText xml:space="preserve"> PAGEREF _Toc1718979811 \h </w:instrText>
      </w:r>
      <w:r>
        <w:fldChar w:fldCharType="separate"/>
      </w:r>
      <w:r>
        <w:t>9</w:t>
      </w:r>
      <w:r>
        <w:fldChar w:fldCharType="end"/>
      </w:r>
      <w:r>
        <w:fldChar w:fldCharType="end"/>
      </w:r>
    </w:p>
    <w:p w14:paraId="4B459DD6">
      <w:pPr>
        <w:pStyle w:val="24"/>
        <w:tabs>
          <w:tab w:val="right" w:leader="dot" w:pos="9354"/>
          <w:tab w:val="clear" w:pos="9344"/>
        </w:tabs>
      </w:pPr>
      <w:r>
        <w:fldChar w:fldCharType="begin"/>
      </w:r>
      <w:r>
        <w:instrText xml:space="preserve"> HYPERLINK \l "_Toc825584764" </w:instrText>
      </w:r>
      <w:r>
        <w:fldChar w:fldCharType="separate"/>
      </w:r>
      <w:r>
        <w:rPr>
          <w:rFonts w:hint="eastAsia" w:ascii="黑体" w:hAnsi="黑体" w:eastAsia="黑体"/>
          <w:kern w:val="0"/>
          <w14:scene3d>
            <w14:lightRig w14:rig="threePt" w14:dir="t">
              <w14:rot w14:lat="0" w14:lon="0" w14:rev="0"/>
            </w14:lightRig>
          </w14:scene3d>
        </w:rPr>
        <w:t xml:space="preserve">6.4 </w:t>
      </w:r>
      <w:r>
        <w:rPr>
          <w:rFonts w:hint="eastAsia"/>
        </w:rPr>
        <w:t>能源利用诊断</w:t>
      </w:r>
      <w:r>
        <w:tab/>
      </w:r>
      <w:r>
        <w:fldChar w:fldCharType="begin"/>
      </w:r>
      <w:r>
        <w:instrText xml:space="preserve"> PAGEREF _Toc825584764 \h </w:instrText>
      </w:r>
      <w:r>
        <w:fldChar w:fldCharType="separate"/>
      </w:r>
      <w:r>
        <w:t>9</w:t>
      </w:r>
      <w:r>
        <w:fldChar w:fldCharType="end"/>
      </w:r>
      <w:r>
        <w:fldChar w:fldCharType="end"/>
      </w:r>
    </w:p>
    <w:p w14:paraId="48C4F64E">
      <w:pPr>
        <w:pStyle w:val="24"/>
        <w:tabs>
          <w:tab w:val="right" w:leader="dot" w:pos="9354"/>
          <w:tab w:val="clear" w:pos="9344"/>
        </w:tabs>
      </w:pPr>
      <w:r>
        <w:fldChar w:fldCharType="begin"/>
      </w:r>
      <w:r>
        <w:instrText xml:space="preserve"> HYPERLINK \l "_Toc1124545324" </w:instrText>
      </w:r>
      <w:r>
        <w:fldChar w:fldCharType="separate"/>
      </w:r>
      <w:r>
        <w:rPr>
          <w:rFonts w:hint="eastAsia" w:ascii="黑体" w:hAnsi="黑体" w:eastAsia="黑体"/>
          <w:kern w:val="0"/>
          <w14:scene3d>
            <w14:lightRig w14:rig="threePt" w14:dir="t">
              <w14:rot w14:lat="0" w14:lon="0" w14:rev="0"/>
            </w14:lightRig>
          </w14:scene3d>
        </w:rPr>
        <w:t xml:space="preserve">6.5 </w:t>
      </w:r>
      <w:r>
        <w:rPr>
          <w:rFonts w:hint="eastAsia"/>
        </w:rPr>
        <w:t>资源利用诊断</w:t>
      </w:r>
      <w:r>
        <w:tab/>
      </w:r>
      <w:r>
        <w:fldChar w:fldCharType="begin"/>
      </w:r>
      <w:r>
        <w:instrText xml:space="preserve"> PAGEREF _Toc1124545324 \h </w:instrText>
      </w:r>
      <w:r>
        <w:fldChar w:fldCharType="separate"/>
      </w:r>
      <w:r>
        <w:t>10</w:t>
      </w:r>
      <w:r>
        <w:fldChar w:fldCharType="end"/>
      </w:r>
      <w:r>
        <w:fldChar w:fldCharType="end"/>
      </w:r>
    </w:p>
    <w:p w14:paraId="4729E6D3">
      <w:pPr>
        <w:pStyle w:val="24"/>
        <w:tabs>
          <w:tab w:val="right" w:leader="dot" w:pos="9354"/>
          <w:tab w:val="clear" w:pos="9344"/>
        </w:tabs>
      </w:pPr>
      <w:r>
        <w:fldChar w:fldCharType="begin"/>
      </w:r>
      <w:r>
        <w:instrText xml:space="preserve"> HYPERLINK \l "_Toc1576711028" </w:instrText>
      </w:r>
      <w:r>
        <w:fldChar w:fldCharType="separate"/>
      </w:r>
      <w:r>
        <w:rPr>
          <w:rFonts w:hint="eastAsia" w:ascii="黑体" w:hAnsi="黑体" w:eastAsia="黑体"/>
          <w:kern w:val="0"/>
          <w14:scene3d>
            <w14:lightRig w14:rig="threePt" w14:dir="t">
              <w14:rot w14:lat="0" w14:lon="0" w14:rev="0"/>
            </w14:lightRig>
          </w14:scene3d>
        </w:rPr>
        <w:t xml:space="preserve">6.6 </w:t>
      </w:r>
      <w:r>
        <w:rPr>
          <w:rFonts w:hint="eastAsia"/>
        </w:rPr>
        <w:t>二氧化碳排放诊断</w:t>
      </w:r>
      <w:r>
        <w:tab/>
      </w:r>
      <w:r>
        <w:fldChar w:fldCharType="begin"/>
      </w:r>
      <w:r>
        <w:instrText xml:space="preserve"> PAGEREF _Toc1576711028 \h </w:instrText>
      </w:r>
      <w:r>
        <w:fldChar w:fldCharType="separate"/>
      </w:r>
      <w:r>
        <w:t>10</w:t>
      </w:r>
      <w:r>
        <w:fldChar w:fldCharType="end"/>
      </w:r>
      <w:r>
        <w:fldChar w:fldCharType="end"/>
      </w:r>
    </w:p>
    <w:p w14:paraId="2D891A59">
      <w:pPr>
        <w:pStyle w:val="24"/>
        <w:tabs>
          <w:tab w:val="right" w:leader="dot" w:pos="9354"/>
          <w:tab w:val="clear" w:pos="9344"/>
        </w:tabs>
      </w:pPr>
      <w:r>
        <w:fldChar w:fldCharType="begin"/>
      </w:r>
      <w:r>
        <w:instrText xml:space="preserve"> HYPERLINK \l "_Toc130256126" </w:instrText>
      </w:r>
      <w:r>
        <w:fldChar w:fldCharType="separate"/>
      </w:r>
      <w:r>
        <w:rPr>
          <w:rFonts w:hint="eastAsia" w:ascii="黑体" w:hAnsi="黑体" w:eastAsia="黑体"/>
          <w:kern w:val="0"/>
          <w14:scene3d>
            <w14:lightRig w14:rig="threePt" w14:dir="t">
              <w14:rot w14:lat="0" w14:lon="0" w14:rev="0"/>
            </w14:lightRig>
          </w14:scene3d>
        </w:rPr>
        <w:t xml:space="preserve">6.7 </w:t>
      </w:r>
      <w:r>
        <w:rPr>
          <w:rFonts w:hint="eastAsia"/>
        </w:rPr>
        <w:t>环境排放诊断</w:t>
      </w:r>
      <w:r>
        <w:tab/>
      </w:r>
      <w:r>
        <w:fldChar w:fldCharType="begin"/>
      </w:r>
      <w:r>
        <w:instrText xml:space="preserve"> PAGEREF _Toc130256126 \h </w:instrText>
      </w:r>
      <w:r>
        <w:fldChar w:fldCharType="separate"/>
      </w:r>
      <w:r>
        <w:t>10</w:t>
      </w:r>
      <w:r>
        <w:fldChar w:fldCharType="end"/>
      </w:r>
      <w:r>
        <w:fldChar w:fldCharType="end"/>
      </w:r>
    </w:p>
    <w:p w14:paraId="7FC49F2C">
      <w:pPr>
        <w:pStyle w:val="24"/>
        <w:tabs>
          <w:tab w:val="right" w:leader="dot" w:pos="9354"/>
          <w:tab w:val="clear" w:pos="9344"/>
        </w:tabs>
      </w:pPr>
      <w:r>
        <w:fldChar w:fldCharType="begin"/>
      </w:r>
      <w:r>
        <w:instrText xml:space="preserve"> HYPERLINK \l "_Toc1531295350" </w:instrText>
      </w:r>
      <w:r>
        <w:fldChar w:fldCharType="separate"/>
      </w:r>
      <w:r>
        <w:rPr>
          <w:rFonts w:hint="eastAsia" w:ascii="黑体" w:hAnsi="黑体" w:eastAsia="黑体"/>
          <w:kern w:val="0"/>
          <w14:scene3d>
            <w14:lightRig w14:rig="threePt" w14:dir="t">
              <w14:rot w14:lat="0" w14:lon="0" w14:rev="0"/>
            </w14:lightRig>
          </w14:scene3d>
        </w:rPr>
        <w:t xml:space="preserve">6.8 </w:t>
      </w:r>
      <w:r>
        <w:rPr>
          <w:rFonts w:hint="eastAsia"/>
        </w:rPr>
        <w:t>绿色供应链诊断</w:t>
      </w:r>
      <w:r>
        <w:tab/>
      </w:r>
      <w:r>
        <w:fldChar w:fldCharType="begin"/>
      </w:r>
      <w:r>
        <w:instrText xml:space="preserve"> PAGEREF _Toc1531295350 \h </w:instrText>
      </w:r>
      <w:r>
        <w:fldChar w:fldCharType="separate"/>
      </w:r>
      <w:r>
        <w:t>10</w:t>
      </w:r>
      <w:r>
        <w:fldChar w:fldCharType="end"/>
      </w:r>
      <w:r>
        <w:fldChar w:fldCharType="end"/>
      </w:r>
    </w:p>
    <w:p w14:paraId="351B48D5">
      <w:pPr>
        <w:pStyle w:val="24"/>
        <w:tabs>
          <w:tab w:val="right" w:leader="dot" w:pos="9354"/>
          <w:tab w:val="clear" w:pos="9344"/>
        </w:tabs>
      </w:pPr>
      <w:r>
        <w:fldChar w:fldCharType="begin"/>
      </w:r>
      <w:r>
        <w:instrText xml:space="preserve"> HYPERLINK \l "_Toc1128350461" </w:instrText>
      </w:r>
      <w:r>
        <w:fldChar w:fldCharType="separate"/>
      </w:r>
      <w:r>
        <w:rPr>
          <w:rFonts w:hint="eastAsia" w:ascii="黑体" w:hAnsi="黑体" w:eastAsia="黑体"/>
          <w:kern w:val="0"/>
          <w14:scene3d>
            <w14:lightRig w14:rig="threePt" w14:dir="t">
              <w14:rot w14:lat="0" w14:lon="0" w14:rev="0"/>
            </w14:lightRig>
          </w14:scene3d>
        </w:rPr>
        <w:t xml:space="preserve">6.9 </w:t>
      </w:r>
      <w:r>
        <w:rPr>
          <w:rFonts w:hint="eastAsia"/>
        </w:rPr>
        <w:t>绿色绩效诊断</w:t>
      </w:r>
      <w:r>
        <w:tab/>
      </w:r>
      <w:r>
        <w:fldChar w:fldCharType="begin"/>
      </w:r>
      <w:r>
        <w:instrText xml:space="preserve"> PAGEREF _Toc1128350461 \h </w:instrText>
      </w:r>
      <w:r>
        <w:fldChar w:fldCharType="separate"/>
      </w:r>
      <w:r>
        <w:t>10</w:t>
      </w:r>
      <w:r>
        <w:fldChar w:fldCharType="end"/>
      </w:r>
      <w:r>
        <w:fldChar w:fldCharType="end"/>
      </w:r>
    </w:p>
    <w:p w14:paraId="72C5D1F1">
      <w:pPr>
        <w:pStyle w:val="24"/>
        <w:tabs>
          <w:tab w:val="right" w:leader="dot" w:pos="9354"/>
          <w:tab w:val="clear" w:pos="9344"/>
        </w:tabs>
      </w:pPr>
      <w:r>
        <w:fldChar w:fldCharType="begin"/>
      </w:r>
      <w:r>
        <w:instrText xml:space="preserve"> HYPERLINK \l "_Toc1817522067" </w:instrText>
      </w:r>
      <w:r>
        <w:fldChar w:fldCharType="separate"/>
      </w:r>
      <w:r>
        <w:rPr>
          <w:rFonts w:hint="eastAsia" w:ascii="黑体" w:hAnsi="黑体" w:eastAsia="黑体"/>
          <w:kern w:val="0"/>
          <w14:scene3d>
            <w14:lightRig w14:rig="threePt" w14:dir="t">
              <w14:rot w14:lat="0" w14:lon="0" w14:rev="0"/>
            </w14:lightRig>
          </w14:scene3d>
        </w:rPr>
        <w:t xml:space="preserve">6.10 </w:t>
      </w:r>
      <w:r>
        <w:rPr>
          <w:rFonts w:hint="eastAsia"/>
        </w:rPr>
        <w:t>绿色发展水平量化指标汇总</w:t>
      </w:r>
      <w:r>
        <w:tab/>
      </w:r>
      <w:r>
        <w:fldChar w:fldCharType="begin"/>
      </w:r>
      <w:r>
        <w:instrText xml:space="preserve"> PAGEREF _Toc1817522067 \h </w:instrText>
      </w:r>
      <w:r>
        <w:fldChar w:fldCharType="separate"/>
      </w:r>
      <w:r>
        <w:t>11</w:t>
      </w:r>
      <w:r>
        <w:fldChar w:fldCharType="end"/>
      </w:r>
      <w:r>
        <w:fldChar w:fldCharType="end"/>
      </w:r>
    </w:p>
    <w:p w14:paraId="2A13FE18">
      <w:pPr>
        <w:pStyle w:val="24"/>
        <w:tabs>
          <w:tab w:val="right" w:leader="dot" w:pos="9354"/>
          <w:tab w:val="clear" w:pos="9344"/>
        </w:tabs>
      </w:pPr>
      <w:r>
        <w:fldChar w:fldCharType="begin"/>
      </w:r>
      <w:r>
        <w:instrText xml:space="preserve"> HYPERLINK \l "_Toc2144016052" </w:instrText>
      </w:r>
      <w:r>
        <w:fldChar w:fldCharType="separate"/>
      </w:r>
      <w:r>
        <w:rPr>
          <w:rFonts w:hint="eastAsia" w:ascii="黑体" w:hAnsi="黑体" w:eastAsia="黑体"/>
          <w:kern w:val="0"/>
          <w14:scene3d>
            <w14:lightRig w14:rig="threePt" w14:dir="t">
              <w14:rot w14:lat="0" w14:lon="0" w14:rev="0"/>
            </w14:lightRig>
          </w14:scene3d>
        </w:rPr>
        <w:t xml:space="preserve">6.11 </w:t>
      </w:r>
      <w:r>
        <w:rPr>
          <w:rFonts w:hint="eastAsia"/>
        </w:rPr>
        <w:t>绿色发展潜力分析与建议</w:t>
      </w:r>
      <w:r>
        <w:tab/>
      </w:r>
      <w:r>
        <w:fldChar w:fldCharType="begin"/>
      </w:r>
      <w:r>
        <w:instrText xml:space="preserve"> PAGEREF _Toc2144016052 \h </w:instrText>
      </w:r>
      <w:r>
        <w:fldChar w:fldCharType="separate"/>
      </w:r>
      <w:r>
        <w:t>11</w:t>
      </w:r>
      <w:r>
        <w:fldChar w:fldCharType="end"/>
      </w:r>
      <w:r>
        <w:fldChar w:fldCharType="end"/>
      </w:r>
    </w:p>
    <w:p w14:paraId="5C0795CA">
      <w:pPr>
        <w:pStyle w:val="19"/>
        <w:tabs>
          <w:tab w:val="right" w:leader="dot" w:pos="9354"/>
        </w:tabs>
      </w:pPr>
      <w:r>
        <w:fldChar w:fldCharType="begin"/>
      </w:r>
      <w:r>
        <w:instrText xml:space="preserve"> HYPERLINK \l "_Toc1119995141" </w:instrText>
      </w:r>
      <w:r>
        <w:fldChar w:fldCharType="separate"/>
      </w:r>
      <w:r>
        <w:rPr>
          <w:rFonts w:hint="eastAsia" w:ascii="黑体" w:eastAsia="黑体"/>
        </w:rPr>
        <w:t xml:space="preserve">7 </w:t>
      </w:r>
      <w:r>
        <w:rPr>
          <w:rFonts w:hint="eastAsia"/>
        </w:rPr>
        <w:t>诊断结果应用</w:t>
      </w:r>
      <w:r>
        <w:tab/>
      </w:r>
      <w:r>
        <w:fldChar w:fldCharType="begin"/>
      </w:r>
      <w:r>
        <w:instrText xml:space="preserve"> PAGEREF _Toc1119995141 \h </w:instrText>
      </w:r>
      <w:r>
        <w:fldChar w:fldCharType="separate"/>
      </w:r>
      <w:r>
        <w:t>11</w:t>
      </w:r>
      <w:r>
        <w:fldChar w:fldCharType="end"/>
      </w:r>
      <w:r>
        <w:fldChar w:fldCharType="end"/>
      </w:r>
    </w:p>
    <w:p w14:paraId="2A0A53A1">
      <w:pPr>
        <w:pStyle w:val="24"/>
        <w:tabs>
          <w:tab w:val="right" w:leader="dot" w:pos="9354"/>
          <w:tab w:val="clear" w:pos="9344"/>
        </w:tabs>
      </w:pPr>
      <w:r>
        <w:fldChar w:fldCharType="begin"/>
      </w:r>
      <w:r>
        <w:instrText xml:space="preserve"> HYPERLINK \l "_Toc1860427216" </w:instrText>
      </w:r>
      <w:r>
        <w:fldChar w:fldCharType="separate"/>
      </w:r>
      <w:r>
        <w:rPr>
          <w:rFonts w:hint="eastAsia" w:ascii="黑体" w:hAnsi="黑体" w:eastAsia="黑体"/>
          <w:kern w:val="0"/>
          <w14:scene3d>
            <w14:lightRig w14:rig="threePt" w14:dir="t">
              <w14:rot w14:lat="0" w14:lon="0" w14:rev="0"/>
            </w14:lightRig>
          </w14:scene3d>
        </w:rPr>
        <w:t xml:space="preserve">7.1 </w:t>
      </w:r>
      <w:r>
        <w:t>跟踪原则</w:t>
      </w:r>
      <w:r>
        <w:tab/>
      </w:r>
      <w:r>
        <w:fldChar w:fldCharType="begin"/>
      </w:r>
      <w:r>
        <w:instrText xml:space="preserve"> PAGEREF _Toc1860427216 \h </w:instrText>
      </w:r>
      <w:r>
        <w:fldChar w:fldCharType="separate"/>
      </w:r>
      <w:r>
        <w:t>11</w:t>
      </w:r>
      <w:r>
        <w:fldChar w:fldCharType="end"/>
      </w:r>
      <w:r>
        <w:fldChar w:fldCharType="end"/>
      </w:r>
    </w:p>
    <w:p w14:paraId="69371AE2">
      <w:pPr>
        <w:pStyle w:val="24"/>
        <w:tabs>
          <w:tab w:val="right" w:leader="dot" w:pos="9354"/>
          <w:tab w:val="clear" w:pos="9344"/>
        </w:tabs>
      </w:pPr>
      <w:r>
        <w:fldChar w:fldCharType="begin"/>
      </w:r>
      <w:r>
        <w:instrText xml:space="preserve"> HYPERLINK \l "_Toc2341682" </w:instrText>
      </w:r>
      <w:r>
        <w:fldChar w:fldCharType="separate"/>
      </w:r>
      <w:r>
        <w:rPr>
          <w:rFonts w:hint="eastAsia" w:ascii="黑体" w:hAnsi="黑体" w:eastAsia="黑体"/>
          <w:kern w:val="0"/>
          <w14:scene3d>
            <w14:lightRig w14:rig="threePt" w14:dir="t">
              <w14:rot w14:lat="0" w14:lon="0" w14:rev="0"/>
            </w14:lightRig>
          </w14:scene3d>
        </w:rPr>
        <w:t xml:space="preserve">7.2 </w:t>
      </w:r>
      <w:r>
        <w:t>组织与职责</w:t>
      </w:r>
      <w:r>
        <w:tab/>
      </w:r>
      <w:r>
        <w:fldChar w:fldCharType="begin"/>
      </w:r>
      <w:r>
        <w:instrText xml:space="preserve"> PAGEREF _Toc2341682 \h </w:instrText>
      </w:r>
      <w:r>
        <w:fldChar w:fldCharType="separate"/>
      </w:r>
      <w:r>
        <w:t>11</w:t>
      </w:r>
      <w:r>
        <w:fldChar w:fldCharType="end"/>
      </w:r>
      <w:r>
        <w:fldChar w:fldCharType="end"/>
      </w:r>
    </w:p>
    <w:p w14:paraId="020F3050">
      <w:pPr>
        <w:pStyle w:val="24"/>
        <w:tabs>
          <w:tab w:val="right" w:leader="dot" w:pos="9354"/>
          <w:tab w:val="clear" w:pos="9344"/>
        </w:tabs>
      </w:pPr>
      <w:r>
        <w:fldChar w:fldCharType="begin"/>
      </w:r>
      <w:r>
        <w:instrText xml:space="preserve"> HYPERLINK \l "_Toc917432237" </w:instrText>
      </w:r>
      <w:r>
        <w:fldChar w:fldCharType="separate"/>
      </w:r>
      <w:r>
        <w:rPr>
          <w:rFonts w:hint="eastAsia" w:ascii="黑体" w:hAnsi="黑体" w:eastAsia="黑体"/>
          <w:kern w:val="0"/>
          <w14:scene3d>
            <w14:lightRig w14:rig="threePt" w14:dir="t">
              <w14:rot w14:lat="0" w14:lon="0" w14:rev="0"/>
            </w14:lightRig>
          </w14:scene3d>
        </w:rPr>
        <w:t xml:space="preserve">7.3 </w:t>
      </w:r>
      <w:r>
        <w:t>跟踪时限</w:t>
      </w:r>
      <w:r>
        <w:tab/>
      </w:r>
      <w:r>
        <w:fldChar w:fldCharType="begin"/>
      </w:r>
      <w:r>
        <w:instrText xml:space="preserve"> PAGEREF _Toc917432237 \h </w:instrText>
      </w:r>
      <w:r>
        <w:fldChar w:fldCharType="separate"/>
      </w:r>
      <w:r>
        <w:t>12</w:t>
      </w:r>
      <w:r>
        <w:fldChar w:fldCharType="end"/>
      </w:r>
      <w:r>
        <w:fldChar w:fldCharType="end"/>
      </w:r>
    </w:p>
    <w:p w14:paraId="1BBD293C">
      <w:pPr>
        <w:pStyle w:val="24"/>
        <w:tabs>
          <w:tab w:val="right" w:leader="dot" w:pos="9354"/>
          <w:tab w:val="clear" w:pos="9344"/>
        </w:tabs>
      </w:pPr>
      <w:r>
        <w:fldChar w:fldCharType="begin"/>
      </w:r>
      <w:r>
        <w:instrText xml:space="preserve"> HYPERLINK \l "_Toc133585768" </w:instrText>
      </w:r>
      <w:r>
        <w:fldChar w:fldCharType="separate"/>
      </w:r>
      <w:r>
        <w:rPr>
          <w:rFonts w:hint="eastAsia" w:ascii="黑体" w:hAnsi="黑体" w:eastAsia="黑体"/>
          <w:kern w:val="0"/>
          <w14:scene3d>
            <w14:lightRig w14:rig="threePt" w14:dir="t">
              <w14:rot w14:lat="0" w14:lon="0" w14:rev="0"/>
            </w14:lightRig>
          </w14:scene3d>
        </w:rPr>
        <w:t xml:space="preserve">7.4 </w:t>
      </w:r>
      <w:r>
        <w:t>跟踪报告编制与提交</w:t>
      </w:r>
      <w:r>
        <w:tab/>
      </w:r>
      <w:r>
        <w:fldChar w:fldCharType="begin"/>
      </w:r>
      <w:r>
        <w:instrText xml:space="preserve"> PAGEREF _Toc133585768 \h </w:instrText>
      </w:r>
      <w:r>
        <w:fldChar w:fldCharType="separate"/>
      </w:r>
      <w:r>
        <w:t>12</w:t>
      </w:r>
      <w:r>
        <w:fldChar w:fldCharType="end"/>
      </w:r>
      <w:r>
        <w:fldChar w:fldCharType="end"/>
      </w:r>
    </w:p>
    <w:p w14:paraId="42E390CE">
      <w:pPr>
        <w:pStyle w:val="24"/>
        <w:tabs>
          <w:tab w:val="right" w:leader="dot" w:pos="9354"/>
          <w:tab w:val="clear" w:pos="9344"/>
        </w:tabs>
      </w:pPr>
      <w:r>
        <w:fldChar w:fldCharType="begin"/>
      </w:r>
      <w:r>
        <w:instrText xml:space="preserve"> HYPERLINK \l "_Toc2048257218" </w:instrText>
      </w:r>
      <w:r>
        <w:fldChar w:fldCharType="separate"/>
      </w:r>
      <w:r>
        <w:rPr>
          <w:rFonts w:hint="eastAsia" w:ascii="黑体" w:hAnsi="黑体" w:eastAsia="黑体"/>
          <w:kern w:val="0"/>
          <w14:scene3d>
            <w14:lightRig w14:rig="threePt" w14:dir="t">
              <w14:rot w14:lat="0" w14:lon="0" w14:rev="0"/>
            </w14:lightRig>
          </w14:scene3d>
        </w:rPr>
        <w:t xml:space="preserve">7.5 </w:t>
      </w:r>
      <w:r>
        <w:t>跟踪结果应用</w:t>
      </w:r>
      <w:r>
        <w:tab/>
      </w:r>
      <w:r>
        <w:fldChar w:fldCharType="begin"/>
      </w:r>
      <w:r>
        <w:instrText xml:space="preserve"> PAGEREF _Toc2048257218 \h </w:instrText>
      </w:r>
      <w:r>
        <w:fldChar w:fldCharType="separate"/>
      </w:r>
      <w:r>
        <w:t>12</w:t>
      </w:r>
      <w:r>
        <w:fldChar w:fldCharType="end"/>
      </w:r>
      <w:r>
        <w:fldChar w:fldCharType="end"/>
      </w:r>
    </w:p>
    <w:p w14:paraId="2F370D8C">
      <w:pPr>
        <w:pStyle w:val="19"/>
        <w:tabs>
          <w:tab w:val="right" w:leader="dot" w:pos="9354"/>
        </w:tabs>
      </w:pPr>
      <w:r>
        <w:fldChar w:fldCharType="begin"/>
      </w:r>
      <w:r>
        <w:instrText xml:space="preserve"> HYPERLINK \l "_Toc654811587" </w:instrText>
      </w:r>
      <w:r>
        <w:fldChar w:fldCharType="separate"/>
      </w:r>
      <w:r>
        <w:rPr>
          <w:rFonts w:hint="eastAsia" w:ascii="黑体" w:eastAsia="黑体"/>
        </w:rPr>
        <w:t xml:space="preserve">8 </w:t>
      </w:r>
      <w:r>
        <w:t>报告</w:t>
      </w:r>
      <w:r>
        <w:rPr>
          <w:rFonts w:hint="eastAsia"/>
        </w:rPr>
        <w:t>框架</w:t>
      </w:r>
      <w:r>
        <w:t>及要求</w:t>
      </w:r>
      <w:r>
        <w:tab/>
      </w:r>
      <w:r>
        <w:fldChar w:fldCharType="begin"/>
      </w:r>
      <w:r>
        <w:instrText xml:space="preserve"> PAGEREF _Toc654811587 \h </w:instrText>
      </w:r>
      <w:r>
        <w:fldChar w:fldCharType="separate"/>
      </w:r>
      <w:r>
        <w:t>12</w:t>
      </w:r>
      <w:r>
        <w:fldChar w:fldCharType="end"/>
      </w:r>
      <w:r>
        <w:fldChar w:fldCharType="end"/>
      </w:r>
    </w:p>
    <w:p w14:paraId="6E0F7E1C">
      <w:pPr>
        <w:pStyle w:val="24"/>
        <w:tabs>
          <w:tab w:val="right" w:leader="dot" w:pos="9354"/>
          <w:tab w:val="clear" w:pos="9344"/>
        </w:tabs>
      </w:pPr>
      <w:r>
        <w:fldChar w:fldCharType="begin"/>
      </w:r>
      <w:r>
        <w:instrText xml:space="preserve"> HYPERLINK \l "_Toc2063541649" </w:instrText>
      </w:r>
      <w:r>
        <w:fldChar w:fldCharType="separate"/>
      </w:r>
      <w:r>
        <w:rPr>
          <w:rFonts w:hint="eastAsia" w:ascii="黑体" w:hAnsi="黑体" w:eastAsia="黑体"/>
          <w:kern w:val="0"/>
          <w14:scene3d>
            <w14:lightRig w14:rig="threePt" w14:dir="t">
              <w14:rot w14:lat="0" w14:lon="0" w14:rev="0"/>
            </w14:lightRig>
          </w14:scene3d>
        </w:rPr>
        <w:t xml:space="preserve">8.1 </w:t>
      </w:r>
      <w:r>
        <w:rPr>
          <w:rFonts w:hint="eastAsia"/>
        </w:rPr>
        <w:t>绿色诊断报告组成框架</w:t>
      </w:r>
      <w:r>
        <w:tab/>
      </w:r>
      <w:r>
        <w:fldChar w:fldCharType="begin"/>
      </w:r>
      <w:r>
        <w:instrText xml:space="preserve"> PAGEREF _Toc2063541649 \h </w:instrText>
      </w:r>
      <w:r>
        <w:fldChar w:fldCharType="separate"/>
      </w:r>
      <w:r>
        <w:t>12</w:t>
      </w:r>
      <w:r>
        <w:fldChar w:fldCharType="end"/>
      </w:r>
      <w:r>
        <w:fldChar w:fldCharType="end"/>
      </w:r>
    </w:p>
    <w:p w14:paraId="6365F899">
      <w:pPr>
        <w:pStyle w:val="24"/>
        <w:tabs>
          <w:tab w:val="right" w:leader="dot" w:pos="9354"/>
          <w:tab w:val="clear" w:pos="9344"/>
        </w:tabs>
      </w:pPr>
      <w:r>
        <w:fldChar w:fldCharType="begin"/>
      </w:r>
      <w:r>
        <w:instrText xml:space="preserve"> HYPERLINK \l "_Toc1581626837" </w:instrText>
      </w:r>
      <w:r>
        <w:fldChar w:fldCharType="separate"/>
      </w:r>
      <w:r>
        <w:rPr>
          <w:rFonts w:hint="eastAsia" w:ascii="黑体" w:hAnsi="黑体" w:eastAsia="黑体"/>
          <w:kern w:val="0"/>
          <w14:scene3d>
            <w14:lightRig w14:rig="threePt" w14:dir="t">
              <w14:rot w14:lat="0" w14:lon="0" w14:rev="0"/>
            </w14:lightRig>
          </w14:scene3d>
        </w:rPr>
        <w:t xml:space="preserve">8.2 </w:t>
      </w:r>
      <w:r>
        <w:rPr>
          <w:rFonts w:hint="eastAsia"/>
          <w:bCs/>
        </w:rPr>
        <w:t>绿色</w:t>
      </w:r>
      <w:r>
        <w:rPr>
          <w:rFonts w:hint="eastAsia"/>
        </w:rPr>
        <w:t>诊断</w:t>
      </w:r>
      <w:r>
        <w:rPr>
          <w:rFonts w:hint="eastAsia"/>
          <w:bCs/>
        </w:rPr>
        <w:t>报告正文</w:t>
      </w:r>
      <w:r>
        <w:tab/>
      </w:r>
      <w:r>
        <w:fldChar w:fldCharType="begin"/>
      </w:r>
      <w:r>
        <w:instrText xml:space="preserve"> PAGEREF _Toc1581626837 \h </w:instrText>
      </w:r>
      <w:r>
        <w:fldChar w:fldCharType="separate"/>
      </w:r>
      <w:r>
        <w:t>12</w:t>
      </w:r>
      <w:r>
        <w:fldChar w:fldCharType="end"/>
      </w:r>
      <w:r>
        <w:fldChar w:fldCharType="end"/>
      </w:r>
    </w:p>
    <w:p w14:paraId="59FEEC4F">
      <w:pPr>
        <w:pStyle w:val="19"/>
        <w:tabs>
          <w:tab w:val="right" w:leader="dot" w:pos="9354"/>
        </w:tabs>
      </w:pPr>
      <w:r>
        <w:fldChar w:fldCharType="begin"/>
      </w:r>
      <w:r>
        <w:instrText xml:space="preserve"> HYPERLINK \l "_Toc1218622304" </w:instrText>
      </w:r>
      <w:r>
        <w:fldChar w:fldCharType="separate"/>
      </w:r>
      <w:r>
        <w:rPr>
          <w:rFonts w:hint="eastAsia"/>
          <w:spacing w:val="100"/>
        </w:rPr>
        <w:t>附录A</w:t>
      </w:r>
      <w:r>
        <w:rPr>
          <w:rFonts w:hint="eastAsia"/>
        </w:rPr>
        <w:t>企业绿色发展情况汇总表</w:t>
      </w:r>
      <w:r>
        <w:tab/>
      </w:r>
      <w:r>
        <w:fldChar w:fldCharType="begin"/>
      </w:r>
      <w:r>
        <w:instrText xml:space="preserve"> PAGEREF _Toc1218622304 \h </w:instrText>
      </w:r>
      <w:r>
        <w:fldChar w:fldCharType="separate"/>
      </w:r>
      <w:r>
        <w:t>13</w:t>
      </w:r>
      <w:r>
        <w:fldChar w:fldCharType="end"/>
      </w:r>
      <w:r>
        <w:fldChar w:fldCharType="end"/>
      </w:r>
    </w:p>
    <w:p w14:paraId="23BC6DAA">
      <w:pPr>
        <w:pStyle w:val="19"/>
        <w:tabs>
          <w:tab w:val="right" w:leader="dot" w:pos="9354"/>
        </w:tabs>
      </w:pPr>
      <w:r>
        <w:fldChar w:fldCharType="begin"/>
      </w:r>
      <w:r>
        <w:instrText xml:space="preserve"> HYPERLINK \l "_Toc381175460" </w:instrText>
      </w:r>
      <w:r>
        <w:fldChar w:fldCharType="separate"/>
      </w:r>
      <w:r>
        <w:rPr>
          <w:rFonts w:hint="eastAsia"/>
          <w:spacing w:val="100"/>
        </w:rPr>
        <w:t>附录B</w:t>
      </w:r>
      <w:r>
        <w:rPr>
          <w:rFonts w:hint="eastAsia"/>
          <w:spacing w:val="100"/>
        </w:rPr>
        <w:fldChar w:fldCharType="end"/>
      </w:r>
      <w:r>
        <w:fldChar w:fldCharType="begin"/>
      </w:r>
      <w:r>
        <w:instrText xml:space="preserve"> HYPERLINK \l "_Toc1489581523" </w:instrText>
      </w:r>
      <w:r>
        <w:fldChar w:fldCharType="separate"/>
      </w:r>
      <w:r>
        <w:rPr>
          <w:rFonts w:hint="eastAsia"/>
        </w:rPr>
        <w:t>企业绿色发展情况汇总表</w:t>
      </w:r>
      <w:r>
        <w:tab/>
      </w:r>
      <w:r>
        <w:fldChar w:fldCharType="begin"/>
      </w:r>
      <w:r>
        <w:instrText xml:space="preserve"> PAGEREF _Toc1489581523 \h </w:instrText>
      </w:r>
      <w:r>
        <w:fldChar w:fldCharType="separate"/>
      </w:r>
      <w:r>
        <w:t>15</w:t>
      </w:r>
      <w:r>
        <w:fldChar w:fldCharType="end"/>
      </w:r>
      <w:r>
        <w:fldChar w:fldCharType="end"/>
      </w:r>
    </w:p>
    <w:p w14:paraId="0EC7D9DE">
      <w:pPr>
        <w:pStyle w:val="19"/>
        <w:tabs>
          <w:tab w:val="right" w:leader="dot" w:pos="9354"/>
        </w:tabs>
      </w:pPr>
      <w:r>
        <w:fldChar w:fldCharType="begin"/>
      </w:r>
      <w:r>
        <w:instrText xml:space="preserve"> HYPERLINK \l "_Toc1565509375" </w:instrText>
      </w:r>
      <w:r>
        <w:fldChar w:fldCharType="separate"/>
      </w:r>
      <w:r>
        <w:rPr>
          <w:rFonts w:hint="eastAsia"/>
          <w:spacing w:val="100"/>
        </w:rPr>
        <w:t>附录C</w:t>
      </w:r>
      <w:r>
        <w:rPr>
          <w:rFonts w:hint="eastAsia"/>
        </w:rPr>
        <w:t>绿色诊断报告模板</w:t>
      </w:r>
      <w:r>
        <w:tab/>
      </w:r>
      <w:r>
        <w:fldChar w:fldCharType="begin"/>
      </w:r>
      <w:r>
        <w:instrText xml:space="preserve"> PAGEREF _Toc1565509375 \h </w:instrText>
      </w:r>
      <w:r>
        <w:fldChar w:fldCharType="separate"/>
      </w:r>
      <w:r>
        <w:t>18</w:t>
      </w:r>
      <w:r>
        <w:fldChar w:fldCharType="end"/>
      </w:r>
      <w:r>
        <w:fldChar w:fldCharType="end"/>
      </w:r>
    </w:p>
    <w:p w14:paraId="23FDDB96">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8"/>
    <w:p w14:paraId="5CDDDD56">
      <w:pPr>
        <w:pStyle w:val="89"/>
        <w:spacing w:before="0" w:after="0" w:afterLines="0"/>
      </w:pPr>
      <w:bookmarkStart w:id="10" w:name="_Toc2139128328"/>
      <w:bookmarkStart w:id="11" w:name="BookMark2"/>
      <w:r>
        <w:rPr>
          <w:spacing w:val="320"/>
        </w:rPr>
        <w:t>前</w:t>
      </w:r>
      <w:r>
        <w:t>言</w:t>
      </w:r>
      <w:bookmarkEnd w:id="9"/>
      <w:bookmarkEnd w:id="10"/>
    </w:p>
    <w:p w14:paraId="46810FE6">
      <w:pPr>
        <w:pStyle w:val="56"/>
        <w:ind w:firstLine="420"/>
      </w:pPr>
      <w:r>
        <w:rPr>
          <w:rFonts w:hint="eastAsia"/>
        </w:rPr>
        <w:t>本文件按照GB/T 1.1—2020《标准化工作导则  第1部分：标准化文件的结构和起草规则》的规定起草。</w:t>
      </w:r>
    </w:p>
    <w:p w14:paraId="604BB45B">
      <w:pPr>
        <w:pStyle w:val="56"/>
        <w:ind w:firstLine="420"/>
      </w:pPr>
      <w:r>
        <w:rPr>
          <w:rFonts w:hint="eastAsia"/>
        </w:rPr>
        <w:t>请注意本文件的某些内容可能涉及专利。本文件的发布机构不承担识别专利的责任。</w:t>
      </w:r>
    </w:p>
    <w:p w14:paraId="5353040A">
      <w:pPr>
        <w:pStyle w:val="56"/>
        <w:ind w:firstLine="420"/>
      </w:pPr>
      <w:r>
        <w:rPr>
          <w:rFonts w:hint="eastAsia"/>
        </w:rPr>
        <w:t>本文件由湖北省节能协会提出。</w:t>
      </w:r>
    </w:p>
    <w:p w14:paraId="32CECC93">
      <w:pPr>
        <w:pStyle w:val="56"/>
        <w:ind w:firstLine="420"/>
      </w:pPr>
      <w:r>
        <w:rPr>
          <w:rFonts w:hint="eastAsia"/>
        </w:rPr>
        <w:t>本文件由湖北省能源标准化技术委员会归口。</w:t>
      </w:r>
    </w:p>
    <w:p w14:paraId="428AEE2E">
      <w:pPr>
        <w:widowControl/>
        <w:spacing w:line="240" w:lineRule="auto"/>
        <w:jc w:val="left"/>
      </w:pPr>
      <w:r>
        <w:rPr>
          <w:rFonts w:hint="eastAsia"/>
        </w:rPr>
        <w:t>本文件起草单位：湖北省节能协会、方圆标志认证集团湖北有限公司、湖北省化学工业研究设计院、湖北省计量测试技术研究院、湖北省电子信息产品质量监督检验院、XXX、XXXX。</w:t>
      </w:r>
    </w:p>
    <w:p w14:paraId="66E03F30">
      <w:pPr>
        <w:pStyle w:val="56"/>
        <w:ind w:firstLine="420"/>
        <w:rPr>
          <w:rFonts w:ascii="Calibri" w:hAnsi="Calibri"/>
          <w:kern w:val="2"/>
          <w:szCs w:val="21"/>
        </w:rPr>
      </w:pPr>
      <w:r>
        <w:rPr>
          <w:rFonts w:hint="eastAsia"/>
        </w:rPr>
        <w:t>本文件主要起草人：</w:t>
      </w:r>
      <w:r>
        <w:rPr>
          <w:rFonts w:hint="eastAsia" w:ascii="Calibri" w:hAnsi="Calibri"/>
          <w:kern w:val="2"/>
          <w:szCs w:val="21"/>
        </w:rPr>
        <w:t>冬光林、唐文红、涂军、陈文彬、徐煦、梁德风、胡定强、文兴、郑占根、XXX、XXX。</w:t>
      </w:r>
    </w:p>
    <w:p w14:paraId="43E50488">
      <w:pPr>
        <w:pStyle w:val="56"/>
        <w:ind w:firstLine="420"/>
      </w:pPr>
      <w:r>
        <w:rPr>
          <w:rFonts w:hint="eastAsia"/>
        </w:rPr>
        <w:t>本文件实施应用中的疑问，可咨询湖北省能源标准化技术委员会（标准归口单位），电话：……，对本文件的有关修改意见建议可反馈至湖北省节能协会（标准起草单位），电话：……/邮箱：jstg@bhsjn.org.cn。</w:t>
      </w:r>
    </w:p>
    <w:p w14:paraId="43EBA50E">
      <w:pPr>
        <w:pStyle w:val="56"/>
        <w:ind w:firstLine="420"/>
      </w:pPr>
    </w:p>
    <w:p w14:paraId="4227E726">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p w14:paraId="0FDB6736">
      <w:pPr>
        <w:pStyle w:val="89"/>
        <w:spacing w:before="0" w:after="0" w:afterLines="0"/>
      </w:pPr>
      <w:bookmarkStart w:id="12" w:name="_Toc42905149"/>
      <w:r>
        <w:rPr>
          <w:rFonts w:hint="eastAsia"/>
          <w:spacing w:val="320"/>
        </w:rPr>
        <w:t>引</w:t>
      </w:r>
      <w:r>
        <w:t>言</w:t>
      </w:r>
      <w:bookmarkEnd w:id="12"/>
    </w:p>
    <w:p w14:paraId="6F134440">
      <w:pPr>
        <w:pStyle w:val="56"/>
        <w:ind w:firstLine="420"/>
      </w:pPr>
      <w:r>
        <w:rPr>
          <w:rFonts w:hint="eastAsia"/>
        </w:rPr>
        <w:t>随着全球对生态环境保护和可持续发展的日益重视，工业企业作为能源消耗和环境污染的主要来源之一，面临着前所未有的绿色转型压力。绿色诊断是对工业企业进行全面的绿色诊断和评估，旨在</w:t>
      </w:r>
      <w:bookmarkStart w:id="13" w:name="OLE_LINK3"/>
      <w:r>
        <w:rPr>
          <w:rFonts w:hint="eastAsia"/>
        </w:rPr>
        <w:t>识别企业能源消耗、设备效率、资源利用、环境污染、新能源、碳管理等方面的现状和问题，提出针对性的改进建议和措施，帮助工业企业挖掘节能降耗和减排增效的潜力，为制定科学合理的绿色发展战略提供有力支撑</w:t>
      </w:r>
      <w:bookmarkEnd w:id="13"/>
      <w:r>
        <w:rPr>
          <w:rFonts w:hint="eastAsia"/>
        </w:rPr>
        <w:t>。</w:t>
      </w:r>
    </w:p>
    <w:p w14:paraId="512E4FF3">
      <w:pPr>
        <w:pStyle w:val="56"/>
        <w:ind w:firstLine="420"/>
      </w:pPr>
      <w:r>
        <w:rPr>
          <w:rFonts w:hint="eastAsia"/>
        </w:rPr>
        <w:t>本指南标准结合工业企业的实际情况，明确了绿色诊断的原则、基本要求、诊断步骤、绿色发展水平诊断、绿色发展潜力分析与建议等内容，为开展绿色诊断的第三方服务机构和企业提供了一套全面、系统、科学的绿色诊断方法，引导工业企业积极开展绿色诊断工作，提升企业的绿色发展水平，培育新的经济增长点，推动产业高端化、智能化、绿色化转型，进而培育新质生产力，为经济高质量发展注入新动能。</w:t>
      </w:r>
    </w:p>
    <w:p w14:paraId="78BDEB20">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11"/>
    <w:p w14:paraId="28F22044">
      <w:pPr>
        <w:spacing w:line="240" w:lineRule="auto"/>
        <w:jc w:val="center"/>
        <w:rPr>
          <w:rFonts w:ascii="黑体" w:hAnsi="黑体" w:eastAsia="黑体"/>
          <w:sz w:val="32"/>
          <w:szCs w:val="32"/>
        </w:rPr>
      </w:pPr>
      <w:bookmarkStart w:id="14" w:name="BookMark4"/>
    </w:p>
    <w:p w14:paraId="6BCC8B12">
      <w:pPr>
        <w:spacing w:line="240" w:lineRule="auto"/>
        <w:jc w:val="center"/>
        <w:rPr>
          <w:rFonts w:ascii="黑体" w:hAnsi="黑体" w:eastAsia="黑体"/>
          <w:sz w:val="32"/>
          <w:szCs w:val="32"/>
        </w:rPr>
      </w:pPr>
    </w:p>
    <w:sdt>
      <w:sdtPr>
        <w:tag w:val="NEW_STAND_NAME"/>
        <w:id w:val="595910757"/>
        <w:lock w:val="sdtLocked"/>
        <w:placeholder>
          <w:docPart w:val="EE270FE93A2F4319828ECE77788D8805"/>
        </w:placeholder>
      </w:sdtPr>
      <w:sdtContent>
        <w:p w14:paraId="21001E7D">
          <w:pPr>
            <w:pStyle w:val="177"/>
            <w:spacing w:before="312" w:beforeLines="100" w:after="0" w:line="240" w:lineRule="auto"/>
          </w:pPr>
          <w:bookmarkStart w:id="15" w:name="NEW_STAND_NAME"/>
          <w:r>
            <w:rPr>
              <w:rFonts w:hint="eastAsia"/>
            </w:rPr>
            <w:t>工业企业绿色诊断指南</w:t>
          </w:r>
        </w:p>
      </w:sdtContent>
    </w:sdt>
    <w:bookmarkEnd w:id="15"/>
    <w:p w14:paraId="1C9E5916">
      <w:pPr>
        <w:pStyle w:val="104"/>
        <w:spacing w:before="312" w:after="0" w:afterLines="0"/>
      </w:pPr>
      <w:bookmarkStart w:id="16" w:name="_Toc26718930"/>
      <w:bookmarkStart w:id="17" w:name="_Toc24884211"/>
      <w:bookmarkStart w:id="18" w:name="_Toc26986530"/>
      <w:bookmarkStart w:id="19" w:name="_Toc26648465"/>
      <w:bookmarkStart w:id="20" w:name="_Toc5809278"/>
      <w:bookmarkStart w:id="21" w:name="_Toc26986771"/>
      <w:bookmarkStart w:id="22" w:name="_Toc17233333"/>
      <w:bookmarkStart w:id="23" w:name="_Toc97191423"/>
      <w:bookmarkStart w:id="24" w:name="_Toc119400639"/>
      <w:bookmarkStart w:id="25" w:name="_Toc17233325"/>
      <w:bookmarkStart w:id="26" w:name="_Toc24884218"/>
      <w:r>
        <w:rPr>
          <w:rFonts w:hint="eastAsia"/>
        </w:rPr>
        <w:t>范围</w:t>
      </w:r>
      <w:bookmarkEnd w:id="16"/>
      <w:bookmarkEnd w:id="17"/>
      <w:bookmarkEnd w:id="18"/>
      <w:bookmarkEnd w:id="19"/>
      <w:bookmarkEnd w:id="20"/>
      <w:bookmarkEnd w:id="21"/>
      <w:bookmarkEnd w:id="22"/>
      <w:bookmarkEnd w:id="23"/>
      <w:bookmarkEnd w:id="24"/>
      <w:bookmarkEnd w:id="25"/>
      <w:bookmarkEnd w:id="26"/>
      <w:bookmarkStart w:id="27" w:name="_Toc26648466"/>
      <w:bookmarkStart w:id="28" w:name="_Toc17233334"/>
      <w:bookmarkStart w:id="29" w:name="_Toc17233326"/>
      <w:bookmarkStart w:id="30" w:name="_Toc24884212"/>
      <w:bookmarkStart w:id="31" w:name="_Toc24884219"/>
    </w:p>
    <w:p w14:paraId="01CC52E6">
      <w:pPr>
        <w:pStyle w:val="56"/>
        <w:ind w:firstLine="420"/>
      </w:pPr>
      <w:r>
        <w:t>本文件</w:t>
      </w:r>
      <w:r>
        <w:rPr>
          <w:rFonts w:hint="eastAsia"/>
        </w:rPr>
        <w:t>为工业企业绿色诊断提供了指南，包括诊断原则、诊断工作程序、绿色发展水平诊断、诊断结果应用、报告框架及要求</w:t>
      </w:r>
      <w:r>
        <w:t>。</w:t>
      </w:r>
    </w:p>
    <w:p w14:paraId="1694F3FC">
      <w:pPr>
        <w:pStyle w:val="56"/>
        <w:ind w:firstLine="420"/>
      </w:pPr>
      <w:r>
        <w:rPr>
          <w:rFonts w:hint="eastAsia"/>
        </w:rPr>
        <w:t>本文件适用于指导工业企业自身或绿色诊断咨询服务机构对工业企业开展的绿色诊断工作。</w:t>
      </w:r>
    </w:p>
    <w:p w14:paraId="6B60C763">
      <w:pPr>
        <w:pStyle w:val="104"/>
        <w:spacing w:before="312" w:after="0" w:afterLines="0"/>
      </w:pPr>
      <w:bookmarkStart w:id="32" w:name="_Toc119400640"/>
      <w:bookmarkStart w:id="33" w:name="_Toc26986531"/>
      <w:bookmarkStart w:id="34" w:name="_Toc1944920743"/>
      <w:bookmarkStart w:id="35" w:name="_Toc97191424"/>
      <w:bookmarkStart w:id="36" w:name="_Toc26718931"/>
      <w:bookmarkStart w:id="37" w:name="_Toc26986772"/>
      <w:r>
        <w:rPr>
          <w:rFonts w:hint="eastAsia"/>
        </w:rPr>
        <w:t>规范性引用文件</w:t>
      </w:r>
      <w:bookmarkEnd w:id="27"/>
      <w:bookmarkEnd w:id="28"/>
      <w:bookmarkEnd w:id="29"/>
      <w:bookmarkEnd w:id="30"/>
      <w:bookmarkEnd w:id="31"/>
      <w:bookmarkEnd w:id="32"/>
      <w:bookmarkEnd w:id="33"/>
      <w:bookmarkEnd w:id="34"/>
      <w:bookmarkEnd w:id="35"/>
      <w:bookmarkEnd w:id="36"/>
      <w:bookmarkEnd w:id="37"/>
    </w:p>
    <w:p w14:paraId="7ACE24A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05A32E">
      <w:pPr>
        <w:pStyle w:val="56"/>
        <w:ind w:firstLine="420"/>
      </w:pPr>
      <w:r>
        <w:rPr>
          <w:rFonts w:hint="eastAsia"/>
        </w:rPr>
        <w:t>GB/T 2589   综合能耗计算通则</w:t>
      </w:r>
    </w:p>
    <w:p w14:paraId="51625A5D">
      <w:pPr>
        <w:pStyle w:val="56"/>
        <w:ind w:firstLine="420"/>
      </w:pPr>
      <w:r>
        <w:rPr>
          <w:rFonts w:hint="eastAsia"/>
        </w:rPr>
        <w:t>GB 17167  用能单位能源计量器具配备和管理通则</w:t>
      </w:r>
    </w:p>
    <w:p w14:paraId="45318750">
      <w:pPr>
        <w:pStyle w:val="56"/>
        <w:ind w:firstLine="420"/>
      </w:pPr>
      <w:r>
        <w:rPr>
          <w:rFonts w:hint="eastAsia"/>
        </w:rPr>
        <w:t>GB 18599  一般工业固体废物贮存和填埋污染控制标准</w:t>
      </w:r>
    </w:p>
    <w:p w14:paraId="413C4471">
      <w:pPr>
        <w:pStyle w:val="56"/>
        <w:ind w:firstLine="420"/>
      </w:pPr>
      <w:r>
        <w:rPr>
          <w:rFonts w:hint="eastAsia"/>
        </w:rPr>
        <w:t>GB/T 18916  （所有部分）取水定额/工业用水定额</w:t>
      </w:r>
    </w:p>
    <w:p w14:paraId="401A855B">
      <w:pPr>
        <w:pStyle w:val="56"/>
        <w:ind w:firstLine="420"/>
      </w:pPr>
      <w:r>
        <w:fldChar w:fldCharType="begin"/>
      </w:r>
      <w:r>
        <w:instrText xml:space="preserve"> HYPERLINK "http://www.baidu.com/link?url=CKmsCx2MkoCpfr-iLYghkJLmNUTczhn19fRrEimgL1oaYg9uUdKsC9eDhRDQik49veGh-Zqiv4K24xDvS3HXmOMDOs5LesKXHsH_Nps33Xi" \t "_blank" </w:instrText>
      </w:r>
      <w:r>
        <w:fldChar w:fldCharType="separate"/>
      </w:r>
      <w:r>
        <w:rPr>
          <w:rFonts w:hint="eastAsia"/>
        </w:rPr>
        <w:t>GB/T 19001  质量管理体系 要求</w:t>
      </w:r>
      <w:r>
        <w:rPr>
          <w:rFonts w:hint="eastAsia"/>
        </w:rPr>
        <w:fldChar w:fldCharType="end"/>
      </w:r>
    </w:p>
    <w:p w14:paraId="547AD9E3">
      <w:pPr>
        <w:pStyle w:val="56"/>
        <w:ind w:firstLine="420"/>
      </w:pPr>
      <w:r>
        <w:rPr>
          <w:rFonts w:hint="eastAsia"/>
        </w:rPr>
        <w:t>GB/T 23331  能源管理体系 要求及使用指南</w:t>
      </w:r>
    </w:p>
    <w:p w14:paraId="0805AD8A">
      <w:pPr>
        <w:pStyle w:val="56"/>
        <w:ind w:firstLine="420"/>
      </w:pPr>
      <w:r>
        <w:rPr>
          <w:rFonts w:hint="eastAsia"/>
        </w:rPr>
        <w:t>GB/T 24001  环境管理体系 要求及使用指南</w:t>
      </w:r>
    </w:p>
    <w:p w14:paraId="5CDF32F7">
      <w:pPr>
        <w:pStyle w:val="56"/>
        <w:ind w:firstLine="420"/>
      </w:pPr>
      <w:r>
        <w:rPr>
          <w:rFonts w:hint="eastAsia"/>
        </w:rPr>
        <w:t>GB/T 24040  环境管理 生命周期评价 原则与框架</w:t>
      </w:r>
    </w:p>
    <w:p w14:paraId="79B31188">
      <w:pPr>
        <w:pStyle w:val="56"/>
        <w:ind w:firstLine="420"/>
      </w:pPr>
      <w:r>
        <w:rPr>
          <w:rFonts w:hint="eastAsia"/>
        </w:rPr>
        <w:t>GB/T 24044  环境管理 生命周期评价 要求与指南</w:t>
      </w:r>
    </w:p>
    <w:p w14:paraId="65B48C82">
      <w:pPr>
        <w:pStyle w:val="56"/>
        <w:ind w:firstLine="420"/>
      </w:pPr>
      <w:r>
        <w:t>GB/T 24067</w:t>
      </w:r>
      <w:r>
        <w:rPr>
          <w:rFonts w:hint="eastAsia"/>
        </w:rPr>
        <w:t xml:space="preserve">  温室气体 产品碳足迹 量化要求和指南</w:t>
      </w:r>
    </w:p>
    <w:p w14:paraId="6094FC4A">
      <w:pPr>
        <w:pStyle w:val="56"/>
        <w:ind w:firstLine="420"/>
      </w:pPr>
      <w:r>
        <w:rPr>
          <w:rFonts w:hint="eastAsia"/>
        </w:rPr>
        <w:t>GB/T 24256  产品生态设计通则</w:t>
      </w:r>
    </w:p>
    <w:p w14:paraId="4E9F88DC">
      <w:pPr>
        <w:pStyle w:val="56"/>
        <w:ind w:firstLine="420"/>
      </w:pPr>
      <w:r>
        <w:rPr>
          <w:rFonts w:hint="eastAsia"/>
        </w:rPr>
        <w:t>GB/T 24789  用水单位水计量器具配备和管理通则</w:t>
      </w:r>
    </w:p>
    <w:p w14:paraId="595241ED">
      <w:pPr>
        <w:pStyle w:val="56"/>
        <w:ind w:firstLine="420"/>
      </w:pPr>
      <w:r>
        <w:rPr>
          <w:rFonts w:hint="eastAsia"/>
        </w:rPr>
        <w:t>GB/T 29115  工业企业节约原材料评价导则</w:t>
      </w:r>
    </w:p>
    <w:p w14:paraId="0780F411">
      <w:pPr>
        <w:pStyle w:val="56"/>
        <w:ind w:firstLine="420"/>
      </w:pPr>
      <w:r>
        <w:rPr>
          <w:rFonts w:hint="eastAsia"/>
        </w:rPr>
        <w:t>GB/T 32150  工业企业温室气体排放核算和报告通则</w:t>
      </w:r>
    </w:p>
    <w:p w14:paraId="791FDA82">
      <w:pPr>
        <w:pStyle w:val="56"/>
        <w:ind w:firstLine="420"/>
      </w:pPr>
      <w:r>
        <w:rPr>
          <w:rFonts w:hint="eastAsia"/>
        </w:rPr>
        <w:t>GB/T 32151  （所有部分）温室气体排放核算与报告要求</w:t>
      </w:r>
    </w:p>
    <w:p w14:paraId="560E9F1E">
      <w:pPr>
        <w:pStyle w:val="56"/>
        <w:ind w:firstLine="420"/>
      </w:pPr>
      <w:r>
        <w:rPr>
          <w:rFonts w:hint="eastAsia"/>
        </w:rPr>
        <w:t>GB/T 32161  生态设计产品评价通则</w:t>
      </w:r>
    </w:p>
    <w:p w14:paraId="09FB1F56">
      <w:pPr>
        <w:pStyle w:val="56"/>
        <w:ind w:firstLine="420"/>
      </w:pPr>
      <w:r>
        <w:rPr>
          <w:rFonts w:hint="eastAsia"/>
        </w:rPr>
        <w:t>GB/T 33761  绿色产品评价通则</w:t>
      </w:r>
    </w:p>
    <w:p w14:paraId="27F42DE7">
      <w:pPr>
        <w:pStyle w:val="56"/>
        <w:ind w:firstLine="420"/>
      </w:pPr>
      <w:r>
        <w:rPr>
          <w:rFonts w:hint="eastAsia"/>
        </w:rPr>
        <w:t>GB/T 36132  绿色工厂评价通则</w:t>
      </w:r>
    </w:p>
    <w:p w14:paraId="01EDED21">
      <w:pPr>
        <w:pStyle w:val="56"/>
        <w:ind w:firstLine="420"/>
      </w:pPr>
      <w:r>
        <w:rPr>
          <w:rFonts w:hint="eastAsia"/>
        </w:rPr>
        <w:t>GB/T 45001  职业健康安全管理体系 要求及使用指南</w:t>
      </w:r>
    </w:p>
    <w:p w14:paraId="1FAEB806">
      <w:pPr>
        <w:pStyle w:val="56"/>
        <w:ind w:firstLine="420"/>
      </w:pPr>
      <w:r>
        <w:rPr>
          <w:rFonts w:hint="eastAsia"/>
        </w:rPr>
        <w:t>ISO 14067  Greenhouse gases —Carbon footprint of products — Requirements and guidelines for  quantification</w:t>
      </w:r>
    </w:p>
    <w:p w14:paraId="0CD67808">
      <w:pPr>
        <w:pStyle w:val="104"/>
        <w:spacing w:before="312" w:after="0" w:afterLines="0"/>
        <w:rPr>
          <w:rFonts w:hAnsi="黑体"/>
        </w:rPr>
      </w:pPr>
      <w:bookmarkStart w:id="38" w:name="_Toc97191425"/>
      <w:bookmarkStart w:id="39" w:name="_Toc119400641"/>
      <w:bookmarkStart w:id="40" w:name="_Toc420642199"/>
      <w:r>
        <w:rPr>
          <w:rFonts w:hint="eastAsia"/>
          <w:szCs w:val="21"/>
        </w:rPr>
        <w:t>术语和定义</w:t>
      </w:r>
      <w:bookmarkEnd w:id="38"/>
      <w:bookmarkEnd w:id="39"/>
      <w:bookmarkEnd w:id="40"/>
      <w:bookmarkStart w:id="41" w:name="_Toc26986532"/>
      <w:bookmarkEnd w:id="41"/>
    </w:p>
    <w:sdt>
      <w:sdtPr>
        <w:id w:val="147476069"/>
        <w:placeholder>
          <w:docPart w:val="{f1c865b5-4460-4e32-8dd2-49a5ce7e9a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C777B7">
          <w:pPr>
            <w:pStyle w:val="56"/>
            <w:ind w:firstLine="420"/>
          </w:pPr>
          <w:r>
            <w:t>下列术语和定义适用于本文件。</w:t>
          </w:r>
        </w:p>
      </w:sdtContent>
    </w:sdt>
    <w:p w14:paraId="714872C8">
      <w:pPr>
        <w:pStyle w:val="105"/>
        <w:spacing w:before="156" w:after="0" w:afterLines="0"/>
      </w:pPr>
      <w:bookmarkStart w:id="42" w:name="_Toc21484_WPSOffice_Level2"/>
      <w:bookmarkEnd w:id="42"/>
      <w:bookmarkStart w:id="43" w:name="_Toc2045915536"/>
      <w:r>
        <w:rPr>
          <w:rFonts w:hint="eastAsia"/>
        </w:rPr>
        <w:t>绿色诊断   green diagnosis</w:t>
      </w:r>
      <w:bookmarkEnd w:id="43"/>
    </w:p>
    <w:p w14:paraId="0368518E">
      <w:pPr>
        <w:pStyle w:val="56"/>
        <w:snapToGrid w:val="0"/>
        <w:ind w:firstLine="420"/>
      </w:pPr>
      <w:r>
        <w:rPr>
          <w:rFonts w:hint="eastAsia" w:ascii="Calibri" w:hAnsi="宋体"/>
          <w:kern w:val="2"/>
          <w:szCs w:val="21"/>
        </w:rPr>
        <w:t>通过文件评审、现场诊断、行业对比，评估企业的绿色发展水平，对绿色发展潜力进行分析，形成诊断结论，并提出合理有效的绿色化提升建议，助力企业绿色转型发展。</w:t>
      </w:r>
    </w:p>
    <w:p w14:paraId="540D6178">
      <w:pPr>
        <w:pStyle w:val="105"/>
        <w:spacing w:before="156" w:after="0" w:afterLines="0"/>
      </w:pPr>
      <w:bookmarkStart w:id="44" w:name="_Toc1884862998"/>
      <w:r>
        <w:rPr>
          <w:rFonts w:hint="eastAsia"/>
        </w:rPr>
        <w:t>生态设计  eco-design</w:t>
      </w:r>
      <w:bookmarkEnd w:id="44"/>
    </w:p>
    <w:p w14:paraId="20610ADE">
      <w:pPr>
        <w:spacing w:line="240" w:lineRule="auto"/>
        <w:ind w:firstLine="420" w:firstLineChars="200"/>
        <w:rPr>
          <w:rFonts w:ascii="宋体" w:hAnsi="宋体"/>
        </w:rPr>
      </w:pPr>
      <w:r>
        <w:rPr>
          <w:rFonts w:hint="eastAsia" w:ascii="宋体" w:hAnsi="宋体"/>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p w14:paraId="45EAAB0F">
      <w:pPr>
        <w:spacing w:line="240" w:lineRule="auto"/>
        <w:ind w:firstLine="420" w:firstLineChars="200"/>
        <w:rPr>
          <w:rFonts w:ascii="宋体" w:hAnsi="宋体"/>
        </w:rPr>
      </w:pPr>
      <w:r>
        <w:rPr>
          <w:rFonts w:hint="eastAsia" w:ascii="宋体" w:hAnsi="宋体"/>
        </w:rPr>
        <w:t>[来源：G</w:t>
      </w:r>
      <w:r>
        <w:rPr>
          <w:rFonts w:ascii="宋体" w:hAnsi="宋体"/>
        </w:rPr>
        <w:t>B</w:t>
      </w:r>
      <w:r>
        <w:rPr>
          <w:rFonts w:hint="eastAsia" w:ascii="宋体" w:hAnsi="宋体"/>
        </w:rPr>
        <w:t xml:space="preserve">/T </w:t>
      </w:r>
      <w:r>
        <w:rPr>
          <w:rFonts w:ascii="宋体" w:hAnsi="宋体"/>
        </w:rPr>
        <w:t>32161-2015</w:t>
      </w:r>
      <w:r>
        <w:rPr>
          <w:rFonts w:hint="eastAsia" w:ascii="宋体" w:hAnsi="宋体"/>
        </w:rPr>
        <w:t>，3</w:t>
      </w:r>
      <w:r>
        <w:rPr>
          <w:rFonts w:ascii="宋体" w:hAnsi="宋体"/>
        </w:rPr>
        <w:t>.2</w:t>
      </w:r>
      <w:r>
        <w:rPr>
          <w:rFonts w:hint="eastAsia" w:ascii="宋体" w:hAnsi="宋体"/>
        </w:rPr>
        <w:t>]</w:t>
      </w:r>
    </w:p>
    <w:p w14:paraId="56B13211">
      <w:pPr>
        <w:pStyle w:val="105"/>
        <w:spacing w:before="156" w:after="0" w:afterLines="0"/>
      </w:pPr>
      <w:bookmarkStart w:id="45" w:name="_Toc1929955881"/>
      <w:r>
        <w:t>绿色产品</w:t>
      </w:r>
      <w:r>
        <w:rPr>
          <w:rFonts w:hint="eastAsia"/>
        </w:rPr>
        <w:t xml:space="preserve">  </w:t>
      </w:r>
      <w:r>
        <w:t>green product</w:t>
      </w:r>
      <w:bookmarkEnd w:id="45"/>
    </w:p>
    <w:p w14:paraId="66DAAB49">
      <w:pPr>
        <w:spacing w:line="240" w:lineRule="auto"/>
        <w:ind w:firstLine="420" w:firstLineChars="200"/>
        <w:rPr>
          <w:rFonts w:ascii="宋体" w:hAnsi="宋体"/>
        </w:rPr>
      </w:pPr>
      <w:r>
        <w:rPr>
          <w:rFonts w:hint="eastAsia" w:ascii="宋体" w:hAnsi="宋体"/>
        </w:rPr>
        <w:t>在生命周期过程中,符合环境保护要求,对生态环境和人体健康无害或危害小、资源能源消耗少、碳排放低、品质高的产品。</w:t>
      </w:r>
    </w:p>
    <w:p w14:paraId="6DEA0C0C">
      <w:pPr>
        <w:spacing w:line="240" w:lineRule="auto"/>
        <w:ind w:firstLine="420" w:firstLineChars="200"/>
        <w:rPr>
          <w:rFonts w:ascii="宋体" w:hAnsi="宋体"/>
        </w:rPr>
      </w:pPr>
      <w:r>
        <w:rPr>
          <w:rFonts w:hint="eastAsia" w:ascii="宋体" w:hAnsi="宋体"/>
        </w:rPr>
        <w:t>[来源：GB/T 33761-2024，3.1]</w:t>
      </w:r>
    </w:p>
    <w:p w14:paraId="46DD2437">
      <w:pPr>
        <w:pStyle w:val="104"/>
        <w:spacing w:before="312" w:after="0" w:afterLines="0"/>
        <w:rPr>
          <w:szCs w:val="21"/>
        </w:rPr>
      </w:pPr>
      <w:bookmarkStart w:id="46" w:name="_Toc1680853267"/>
      <w:bookmarkStart w:id="47" w:name="_Toc143297536"/>
      <w:bookmarkStart w:id="48" w:name="_Toc11946"/>
      <w:bookmarkStart w:id="49" w:name="_Toc119400649"/>
      <w:r>
        <w:rPr>
          <w:rFonts w:hint="eastAsia"/>
          <w:szCs w:val="21"/>
        </w:rPr>
        <w:t>诊断原则</w:t>
      </w:r>
      <w:bookmarkEnd w:id="46"/>
      <w:bookmarkEnd w:id="47"/>
    </w:p>
    <w:p w14:paraId="2CC33590">
      <w:pPr>
        <w:pStyle w:val="105"/>
        <w:spacing w:before="156" w:after="0" w:afterLines="0"/>
      </w:pPr>
      <w:bookmarkStart w:id="50" w:name="_Toc143297537"/>
      <w:bookmarkStart w:id="51" w:name="_Toc563810717"/>
      <w:r>
        <w:rPr>
          <w:rFonts w:hint="eastAsia"/>
        </w:rPr>
        <w:t>专业性</w:t>
      </w:r>
      <w:bookmarkEnd w:id="50"/>
      <w:bookmarkEnd w:id="51"/>
    </w:p>
    <w:p w14:paraId="57EA9826">
      <w:pPr>
        <w:pStyle w:val="56"/>
        <w:ind w:firstLine="420"/>
      </w:pPr>
      <w:r>
        <w:rPr>
          <w:rFonts w:hint="eastAsia"/>
        </w:rPr>
        <w:t>诊断人员应具备诊断必需的专业能力，能够根据任务的重要性和诊断对象的具体要求，利用其职业素养进行严谨分析和判断。</w:t>
      </w:r>
    </w:p>
    <w:p w14:paraId="5DDBC48B">
      <w:pPr>
        <w:pStyle w:val="105"/>
        <w:spacing w:before="156" w:after="0" w:afterLines="0"/>
      </w:pPr>
      <w:bookmarkStart w:id="52" w:name="_Toc143297538"/>
      <w:bookmarkStart w:id="53" w:name="_Toc465117458"/>
      <w:bookmarkStart w:id="54" w:name="OLE_LINK1"/>
      <w:r>
        <w:rPr>
          <w:rFonts w:hint="eastAsia"/>
        </w:rPr>
        <w:t>系统性</w:t>
      </w:r>
      <w:bookmarkEnd w:id="52"/>
      <w:bookmarkEnd w:id="53"/>
      <w:bookmarkEnd w:id="54"/>
    </w:p>
    <w:p w14:paraId="530FE10F">
      <w:pPr>
        <w:pStyle w:val="56"/>
        <w:ind w:firstLine="420"/>
      </w:pPr>
      <w:r>
        <w:rPr>
          <w:rFonts w:hint="eastAsia"/>
        </w:rPr>
        <w:t>绿色诊断内容之间应相互关联，构成一个完整的诊断体系，推进企业绿色发展。</w:t>
      </w:r>
    </w:p>
    <w:p w14:paraId="2339F11D">
      <w:pPr>
        <w:pStyle w:val="105"/>
        <w:spacing w:before="156" w:after="0" w:afterLines="0"/>
      </w:pPr>
      <w:bookmarkStart w:id="55" w:name="_Toc143297539"/>
      <w:bookmarkStart w:id="56" w:name="_Toc2055438334"/>
      <w:r>
        <w:rPr>
          <w:rFonts w:hint="eastAsia"/>
        </w:rPr>
        <w:t>独立性</w:t>
      </w:r>
      <w:bookmarkEnd w:id="55"/>
      <w:bookmarkEnd w:id="56"/>
    </w:p>
    <w:p w14:paraId="00E3B843">
      <w:pPr>
        <w:pStyle w:val="56"/>
        <w:ind w:firstLine="420"/>
      </w:pPr>
      <w:r>
        <w:rPr>
          <w:rFonts w:hint="eastAsia"/>
        </w:rPr>
        <w:t>诊断人员应避免偏见及利益冲突，在整个诊断过程中应保持公正、客观、独立，做出专业分析和判断。</w:t>
      </w:r>
    </w:p>
    <w:p w14:paraId="3B2083D5">
      <w:pPr>
        <w:pStyle w:val="105"/>
        <w:spacing w:before="156" w:after="0" w:afterLines="0"/>
      </w:pPr>
      <w:bookmarkStart w:id="57" w:name="_Toc346887071"/>
      <w:r>
        <w:rPr>
          <w:rFonts w:hint="eastAsia"/>
        </w:rPr>
        <w:t>实操性</w:t>
      </w:r>
      <w:bookmarkEnd w:id="57"/>
    </w:p>
    <w:p w14:paraId="696E63A3">
      <w:pPr>
        <w:pStyle w:val="56"/>
        <w:ind w:firstLine="420"/>
      </w:pPr>
      <w:r>
        <w:rPr>
          <w:rFonts w:hint="eastAsia"/>
          <w:szCs w:val="21"/>
        </w:rPr>
        <w:t>提出的改进措施建议符合诊断对象的实际情况，具有实施可行性。</w:t>
      </w:r>
    </w:p>
    <w:p w14:paraId="4AF140AD">
      <w:pPr>
        <w:pStyle w:val="105"/>
        <w:spacing w:before="156" w:after="0" w:afterLines="0"/>
      </w:pPr>
      <w:bookmarkStart w:id="58" w:name="_Toc2072250895"/>
      <w:r>
        <w:rPr>
          <w:rFonts w:hint="eastAsia"/>
        </w:rPr>
        <w:t>可追溯性</w:t>
      </w:r>
      <w:bookmarkEnd w:id="58"/>
    </w:p>
    <w:bookmarkEnd w:id="48"/>
    <w:bookmarkEnd w:id="49"/>
    <w:p w14:paraId="244B0C3C">
      <w:pPr>
        <w:pStyle w:val="56"/>
        <w:ind w:firstLine="420"/>
      </w:pPr>
      <w:r>
        <w:rPr>
          <w:rFonts w:hint="eastAsia"/>
        </w:rPr>
        <w:t>诊断过程中，诊断对象提供的相关资料、数据等信息，能够清晰、准确地追溯其来源、流向及变化。</w:t>
      </w:r>
    </w:p>
    <w:p w14:paraId="6E211609">
      <w:pPr>
        <w:pStyle w:val="104"/>
        <w:spacing w:before="312" w:after="0" w:afterLines="0"/>
      </w:pPr>
      <w:bookmarkStart w:id="59" w:name="_Toc726387491"/>
      <w:r>
        <w:rPr>
          <w:rFonts w:hint="eastAsia"/>
        </w:rPr>
        <w:t>诊断程序</w:t>
      </w:r>
      <w:bookmarkEnd w:id="59"/>
    </w:p>
    <w:p w14:paraId="065758F9">
      <w:pPr>
        <w:pStyle w:val="105"/>
        <w:spacing w:before="156" w:after="0" w:afterLines="0"/>
      </w:pPr>
      <w:bookmarkStart w:id="60" w:name="_Toc1558777349"/>
      <w:r>
        <w:rPr>
          <w:rFonts w:hint="eastAsia"/>
        </w:rPr>
        <w:t>确定诊断任务</w:t>
      </w:r>
      <w:bookmarkEnd w:id="60"/>
    </w:p>
    <w:p w14:paraId="5FFD0C1E">
      <w:pPr>
        <w:pStyle w:val="165"/>
      </w:pPr>
      <w:r>
        <w:rPr>
          <w:rFonts w:hint="eastAsia"/>
        </w:rPr>
        <w:t>申请评估</w:t>
      </w:r>
    </w:p>
    <w:p w14:paraId="09C6B591">
      <w:pPr>
        <w:pStyle w:val="56"/>
        <w:ind w:firstLine="420"/>
      </w:pPr>
      <w:r>
        <w:rPr>
          <w:rFonts w:hint="eastAsia"/>
        </w:rPr>
        <w:t>诊断机构受理工业企业绿色诊断申请时，在公平自愿的基础上，应对受诊断方申报要求的符合性和诊断活动的可行性进行评估，通过国家企业信用信息公示系统、地方环保、安监网站等渠道对申请企业的合规性与信用情况进行调查，审核申报主体申报基本要求的符合性。确定可行性时应考虑诸如下列因素的可获得性：</w:t>
      </w:r>
    </w:p>
    <w:p w14:paraId="273026E9">
      <w:pPr>
        <w:pStyle w:val="56"/>
        <w:ind w:firstLine="420"/>
      </w:pPr>
      <w:r>
        <w:rPr>
          <w:rFonts w:hint="eastAsia"/>
        </w:rPr>
        <w:t>a）受诊断方的充分合作；</w:t>
      </w:r>
    </w:p>
    <w:p w14:paraId="7D518B10">
      <w:pPr>
        <w:pStyle w:val="56"/>
        <w:ind w:firstLine="420"/>
      </w:pPr>
      <w:r>
        <w:rPr>
          <w:rFonts w:hint="eastAsia"/>
        </w:rPr>
        <w:t>b）诊断机构充分的人员、时间和技术资源；</w:t>
      </w:r>
    </w:p>
    <w:p w14:paraId="3C50DD86">
      <w:pPr>
        <w:pStyle w:val="56"/>
        <w:ind w:firstLine="420"/>
      </w:pPr>
      <w:r>
        <w:rPr>
          <w:rFonts w:hint="eastAsia"/>
        </w:rPr>
        <w:t>诊断机构通过申请评估确认诊断活动不可行时，诊断机构应当在与受诊断方协商后，推迟诊断时间或取消诊断。</w:t>
      </w:r>
    </w:p>
    <w:p w14:paraId="054F2923">
      <w:pPr>
        <w:pStyle w:val="165"/>
        <w:numPr>
          <w:ilvl w:val="0"/>
          <w:numId w:val="0"/>
        </w:numPr>
      </w:pPr>
      <w:r>
        <w:rPr>
          <w:rFonts w:hint="eastAsia" w:ascii="黑体" w:eastAsia="黑体"/>
        </w:rPr>
        <w:t>5.1.2　</w:t>
      </w:r>
      <w:r>
        <w:rPr>
          <w:rFonts w:hint="eastAsia"/>
        </w:rPr>
        <w:t>签订诊断合同</w:t>
      </w:r>
    </w:p>
    <w:p w14:paraId="48E9D3D2">
      <w:pPr>
        <w:pStyle w:val="56"/>
        <w:ind w:firstLine="420"/>
      </w:pPr>
      <w:r>
        <w:rPr>
          <w:rFonts w:hint="eastAsia"/>
        </w:rPr>
        <w:t>a)当确定诊断活动可行时，诊断机构应与受诊断方签订合同，在诊断合同中应明确诊断工作流程、费用、企业配合事项、保密要求等。</w:t>
      </w:r>
    </w:p>
    <w:p w14:paraId="4D6FEA4B">
      <w:pPr>
        <w:pStyle w:val="56"/>
        <w:ind w:firstLine="420"/>
      </w:pPr>
      <w:r>
        <w:rPr>
          <w:rFonts w:hint="eastAsia"/>
        </w:rPr>
        <w:t>b)诊断费用需根据实际工作情况合理定价，突出诊断工作的公益性。诊断机构应与企业自诊断活动保持独立性，不得参与企业自诊断报告编写。不得口头或在合同中约定对诊断结果做出承诺的相关条款。</w:t>
      </w:r>
    </w:p>
    <w:p w14:paraId="597C1244">
      <w:pPr>
        <w:pStyle w:val="165"/>
        <w:numPr>
          <w:ilvl w:val="0"/>
          <w:numId w:val="0"/>
        </w:numPr>
      </w:pPr>
      <w:r>
        <w:rPr>
          <w:rFonts w:hint="eastAsia" w:ascii="黑体" w:eastAsia="黑体"/>
        </w:rPr>
        <w:t>5.1.3　</w:t>
      </w:r>
      <w:r>
        <w:rPr>
          <w:rFonts w:hint="eastAsia"/>
        </w:rPr>
        <w:t>诊断实施路径</w:t>
      </w:r>
    </w:p>
    <w:p w14:paraId="07D59E70">
      <w:pPr>
        <w:pStyle w:val="56"/>
        <w:ind w:firstLine="420"/>
      </w:pPr>
      <w:r>
        <w:rPr>
          <w:rFonts w:hint="eastAsia"/>
        </w:rPr>
        <w:t>a)自评与第三方诊断相结合:企业可先进行自我评估，根据需要委托第三方诊断机构进行诊断，确保诊断结果的公正性和权威性。</w:t>
      </w:r>
    </w:p>
    <w:p w14:paraId="292BD919">
      <w:pPr>
        <w:pStyle w:val="56"/>
        <w:ind w:firstLine="420"/>
      </w:pPr>
      <w:r>
        <w:rPr>
          <w:rFonts w:hint="eastAsia"/>
        </w:rPr>
        <w:t>b)定量诊断与定性诊断相结合:定量诊断可以通过数据统计和分析，对各项指标进行量化评估，形成诊断数据。定性诊断可以通过实地考察和调研，结合相关政策法规和标准，对工厂的环境保护、资源利用、能源消耗、废物排放等情况进行评估。定量诊断与定性诊断相结合，可以更加全面地诊断企业的绿色化程度。</w:t>
      </w:r>
    </w:p>
    <w:p w14:paraId="12346695">
      <w:pPr>
        <w:pStyle w:val="56"/>
        <w:ind w:firstLine="420"/>
      </w:pPr>
      <w:r>
        <w:rPr>
          <w:rFonts w:hint="eastAsia"/>
        </w:rPr>
        <w:t>c)动态诊断与静态诊断相结合:既考察企业当前的绿色化水平，又关注企业绿色化转型的趋势和潜力。</w:t>
      </w:r>
    </w:p>
    <w:p w14:paraId="7F501514">
      <w:pPr>
        <w:pStyle w:val="105"/>
        <w:spacing w:before="156" w:after="0" w:afterLines="0"/>
      </w:pPr>
      <w:bookmarkStart w:id="61" w:name="_Toc1980088101"/>
      <w:bookmarkStart w:id="62" w:name="_Toc11310"/>
      <w:r>
        <w:rPr>
          <w:rFonts w:hint="eastAsia"/>
        </w:rPr>
        <w:t>诊断准备</w:t>
      </w:r>
      <w:bookmarkEnd w:id="61"/>
      <w:bookmarkEnd w:id="62"/>
    </w:p>
    <w:p w14:paraId="3E458DE3">
      <w:pPr>
        <w:pStyle w:val="165"/>
        <w:numPr>
          <w:ilvl w:val="0"/>
          <w:numId w:val="0"/>
        </w:numPr>
      </w:pPr>
      <w:r>
        <w:rPr>
          <w:rFonts w:hint="eastAsia" w:ascii="黑体" w:eastAsia="黑体"/>
        </w:rPr>
        <w:t>5.2.1　</w:t>
      </w:r>
      <w:r>
        <w:rPr>
          <w:rFonts w:hint="eastAsia"/>
        </w:rPr>
        <w:t>组成诊断组</w:t>
      </w:r>
    </w:p>
    <w:p w14:paraId="0D610D6B">
      <w:pPr>
        <w:pStyle w:val="56"/>
        <w:ind w:firstLine="420"/>
      </w:pPr>
      <w:r>
        <w:rPr>
          <w:rFonts w:hint="eastAsia"/>
        </w:rPr>
        <w:t>a)诊断组应由组长及数名组员构成，人数不低于三人，应根据企业的实际情况选配相应专业人员。诊断组整体应具备覆盖工业企业绿色诊断需要的各种知识和能力，包括能源消耗、设备效率、资源利用、环境污染、新能源、碳管理等。原则上，诊断机构应优先安排具备绿色制造体系诊断经验或参加过相关培训的人员开展诊断工作。</w:t>
      </w:r>
    </w:p>
    <w:p w14:paraId="5F4C6E14">
      <w:pPr>
        <w:pStyle w:val="56"/>
        <w:ind w:firstLine="420"/>
      </w:pPr>
      <w:r>
        <w:rPr>
          <w:rFonts w:hint="eastAsia"/>
        </w:rPr>
        <w:t>b)诊断组组长应具备管理体系审核、能源审计、节能量审核、清洁生产审核、绿色制造体系诊断等相关审核或诊断组长经验，主要负责领导诊断组实施诊断工作，包括制定计划、召开会议、实施诊断及编制报告等。</w:t>
      </w:r>
    </w:p>
    <w:p w14:paraId="1227D58D">
      <w:pPr>
        <w:pStyle w:val="56"/>
        <w:ind w:firstLine="420"/>
      </w:pPr>
      <w:r>
        <w:rPr>
          <w:rFonts w:hint="eastAsia"/>
        </w:rPr>
        <w:t>c)诊断组成员一般应为诊断机构专业人员，必要时，可邀请外部行业专家参与诊断。</w:t>
      </w:r>
    </w:p>
    <w:p w14:paraId="1D38455C">
      <w:pPr>
        <w:pStyle w:val="165"/>
        <w:numPr>
          <w:ilvl w:val="0"/>
          <w:numId w:val="0"/>
        </w:numPr>
      </w:pPr>
      <w:r>
        <w:rPr>
          <w:rFonts w:hint="eastAsia" w:ascii="黑体" w:eastAsia="黑体"/>
        </w:rPr>
        <w:t>5.2.2　</w:t>
      </w:r>
      <w:r>
        <w:rPr>
          <w:rFonts w:hint="eastAsia"/>
        </w:rPr>
        <w:t>确定诊断技术依据</w:t>
      </w:r>
    </w:p>
    <w:p w14:paraId="12C9AAAC">
      <w:pPr>
        <w:pStyle w:val="56"/>
        <w:ind w:firstLine="420"/>
      </w:pPr>
      <w:r>
        <w:rPr>
          <w:rFonts w:hint="eastAsia"/>
        </w:rPr>
        <w:t>诊断组根据受诊断方所属行业及诊断任务情况，确定诊断技术依据，主要包括国家及省市相关法律法规和产业政策、污染排放和清洁生产方面的国家或地方标准、节能与能效、资源利用相关标准规范、用水和节水相关标准规范、国家和省市发布的绿色低碳先进适用工艺、技术和设备推荐目录等。</w:t>
      </w:r>
    </w:p>
    <w:p w14:paraId="5DA55090">
      <w:pPr>
        <w:pStyle w:val="165"/>
        <w:numPr>
          <w:ilvl w:val="0"/>
          <w:numId w:val="0"/>
        </w:numPr>
      </w:pPr>
      <w:r>
        <w:rPr>
          <w:rFonts w:hint="eastAsia" w:ascii="黑体" w:eastAsia="黑体"/>
        </w:rPr>
        <w:t>5.2.3　</w:t>
      </w:r>
      <w:r>
        <w:rPr>
          <w:rFonts w:hint="eastAsia"/>
        </w:rPr>
        <w:t>初步诊断</w:t>
      </w:r>
    </w:p>
    <w:p w14:paraId="2A109A7A">
      <w:pPr>
        <w:pStyle w:val="56"/>
        <w:ind w:firstLine="420"/>
      </w:pPr>
      <w:r>
        <w:rPr>
          <w:rFonts w:hint="eastAsia"/>
        </w:rPr>
        <w:t>诊断机构受理诊断申请后，诊断组应及时对受诊断方提供的资料文件进行初步评估，识别出后续现场诊断的重点。受诊断方提交的资料包括但不限于：企业提供的自诊断报告及附件，诊断所需的数据和信息，企业的生产工艺、原材料、产品质量、碳排放管理、环境管理等方面的相关资料。</w:t>
      </w:r>
    </w:p>
    <w:p w14:paraId="5A02FEF4">
      <w:pPr>
        <w:pStyle w:val="105"/>
        <w:spacing w:before="156" w:after="0" w:afterLines="0"/>
      </w:pPr>
      <w:bookmarkStart w:id="63" w:name="_Toc13320"/>
      <w:bookmarkStart w:id="64" w:name="_Toc338405426"/>
      <w:r>
        <w:rPr>
          <w:rFonts w:hint="eastAsia"/>
        </w:rPr>
        <w:t>现场</w:t>
      </w:r>
      <w:bookmarkEnd w:id="63"/>
      <w:r>
        <w:rPr>
          <w:rFonts w:hint="eastAsia"/>
        </w:rPr>
        <w:t>诊断</w:t>
      </w:r>
      <w:bookmarkEnd w:id="64"/>
    </w:p>
    <w:p w14:paraId="3FFBBF2A">
      <w:pPr>
        <w:pStyle w:val="165"/>
        <w:numPr>
          <w:ilvl w:val="0"/>
          <w:numId w:val="0"/>
        </w:numPr>
        <w:rPr>
          <w:rFonts w:ascii="黑体" w:eastAsia="黑体"/>
        </w:rPr>
      </w:pPr>
      <w:r>
        <w:rPr>
          <w:rFonts w:hint="eastAsia" w:ascii="黑体" w:eastAsia="黑体"/>
        </w:rPr>
        <w:t>5.3.1编制诊断计划</w:t>
      </w:r>
    </w:p>
    <w:p w14:paraId="37E19702">
      <w:pPr>
        <w:pStyle w:val="56"/>
        <w:ind w:firstLine="420"/>
      </w:pPr>
      <w:r>
        <w:rPr>
          <w:rFonts w:hint="eastAsia"/>
        </w:rPr>
        <w:t>经初步评估，诊断组应进行现场诊断的策划，编制现场诊断计划及受诊断方应在现场诊断中准备的材料清单，与受诊断方充分沟通，确认受诊断方已充分理解诊断计划并能够提供所需的相关资料后，与受诊断方商定现场诊断时间。现场诊断的目的是通过走访生产现场、访问相关人员、查阅文件和记录、访谈相关主管部门（必要时）、汇总数据等方式对受诊断方实际的绿色水平进行诊断，并提出改进建议。</w:t>
      </w:r>
    </w:p>
    <w:p w14:paraId="646AFF04">
      <w:pPr>
        <w:pStyle w:val="165"/>
        <w:numPr>
          <w:ilvl w:val="0"/>
          <w:numId w:val="0"/>
        </w:numPr>
        <w:rPr>
          <w:rFonts w:ascii="黑体" w:eastAsia="黑体"/>
        </w:rPr>
      </w:pPr>
      <w:r>
        <w:rPr>
          <w:rFonts w:hint="eastAsia" w:ascii="黑体" w:eastAsia="黑体"/>
        </w:rPr>
        <w:t>5.3.2 诊断主要步骤</w:t>
      </w:r>
    </w:p>
    <w:p w14:paraId="77C62DBE">
      <w:pPr>
        <w:pStyle w:val="56"/>
        <w:ind w:firstLine="420"/>
      </w:pPr>
      <w:r>
        <w:rPr>
          <w:rFonts w:hint="eastAsia"/>
        </w:rPr>
        <w:t>现场诊断可按照召开首次会议（介绍诊断计划）、收集和验证信息、召开末次会议（通报诊断发现和结论）的步骤进行实施。诊断组在现场获取的信息必须确保真实有效，能够满足诊断的要求。对于生产多种产品企业的绿色诊断，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14:paraId="08D5C471">
      <w:pPr>
        <w:pStyle w:val="165"/>
        <w:numPr>
          <w:ilvl w:val="0"/>
          <w:numId w:val="0"/>
        </w:numPr>
        <w:rPr>
          <w:rFonts w:ascii="黑体" w:eastAsia="黑体"/>
        </w:rPr>
      </w:pPr>
      <w:r>
        <w:rPr>
          <w:rFonts w:hint="eastAsia" w:ascii="黑体" w:eastAsia="黑体"/>
        </w:rPr>
        <w:t>5.3.3 资料补充收集</w:t>
      </w:r>
    </w:p>
    <w:p w14:paraId="0BDDE49E">
      <w:pPr>
        <w:pStyle w:val="56"/>
        <w:ind w:firstLine="420"/>
      </w:pPr>
      <w:r>
        <w:rPr>
          <w:rFonts w:hint="eastAsia"/>
        </w:rPr>
        <w:t>现场诊断实施过程中，诊断组应针对在初步诊断和现场诊断过程中发现的疑问，以及未获得的数据或资料等开具澄清要求给受诊断方，并要求受诊断方在规定的时间内澄清或补充提供相关数据或资料。</w:t>
      </w:r>
    </w:p>
    <w:p w14:paraId="5A983266">
      <w:pPr>
        <w:pStyle w:val="105"/>
        <w:spacing w:before="156" w:after="0" w:afterLines="0"/>
      </w:pPr>
      <w:bookmarkStart w:id="65" w:name="_Toc17742"/>
      <w:bookmarkStart w:id="66" w:name="_Toc1412016312"/>
      <w:r>
        <w:rPr>
          <w:rFonts w:hint="eastAsia"/>
        </w:rPr>
        <w:t>报告编写</w:t>
      </w:r>
      <w:bookmarkEnd w:id="65"/>
      <w:bookmarkEnd w:id="66"/>
    </w:p>
    <w:p w14:paraId="1BD26B51">
      <w:pPr>
        <w:pStyle w:val="165"/>
        <w:numPr>
          <w:ilvl w:val="0"/>
          <w:numId w:val="0"/>
        </w:numPr>
      </w:pPr>
      <w:r>
        <w:rPr>
          <w:rFonts w:hint="eastAsia" w:ascii="黑体" w:eastAsia="黑体"/>
        </w:rPr>
        <w:t>5.4.1　</w:t>
      </w:r>
      <w:r>
        <w:rPr>
          <w:rFonts w:hint="eastAsia"/>
        </w:rPr>
        <w:t>诊断报告编制要求</w:t>
      </w:r>
    </w:p>
    <w:p w14:paraId="726BCA5B">
      <w:pPr>
        <w:pStyle w:val="56"/>
        <w:ind w:firstLine="420"/>
        <w:rPr>
          <w:rFonts w:ascii="黑体" w:eastAsia="黑体"/>
        </w:rPr>
      </w:pPr>
      <w:r>
        <w:rPr>
          <w:rFonts w:hint="eastAsia"/>
        </w:rPr>
        <w:t>工业企业绿色诊断报告应充分体现诊断机构在现场开展诊断的实施过程， 内容简要、证据充分支撑诊断结论。针对每一项诊断条款的要求，详细阐述诊断的过程和判定企业符合情况的充分依据，对引用的关键内容给出证据文件来源，对计算给出详细的计算过程和数据依据，做到证据和信息可信、 内容精要判定准确</w:t>
      </w:r>
    </w:p>
    <w:p w14:paraId="2C3EED49">
      <w:pPr>
        <w:pStyle w:val="165"/>
        <w:numPr>
          <w:ilvl w:val="0"/>
          <w:numId w:val="0"/>
        </w:numPr>
      </w:pPr>
      <w:r>
        <w:rPr>
          <w:rFonts w:hint="eastAsia" w:ascii="黑体" w:eastAsia="黑体"/>
        </w:rPr>
        <w:t>5.4.2　</w:t>
      </w:r>
      <w:r>
        <w:rPr>
          <w:rFonts w:hint="eastAsia"/>
        </w:rPr>
        <w:t>编制诊断报告</w:t>
      </w:r>
    </w:p>
    <w:p w14:paraId="0521D67A">
      <w:pPr>
        <w:pStyle w:val="56"/>
        <w:ind w:firstLine="420"/>
      </w:pPr>
      <w:r>
        <w:rPr>
          <w:rFonts w:hint="eastAsia"/>
        </w:rPr>
        <w:t>完成现场诊断工作后，由各专业技术人员分别撰写所负责诊断任务的专项报告，诊断组长应负责按时组织完成诊断报告的编制工作。</w:t>
      </w:r>
    </w:p>
    <w:p w14:paraId="7E2DA856">
      <w:pPr>
        <w:pStyle w:val="165"/>
        <w:numPr>
          <w:ilvl w:val="0"/>
          <w:numId w:val="0"/>
        </w:numPr>
      </w:pPr>
      <w:r>
        <w:rPr>
          <w:rFonts w:hint="eastAsia" w:ascii="黑体" w:eastAsia="黑体"/>
        </w:rPr>
        <w:t xml:space="preserve">5.4.3 </w:t>
      </w:r>
      <w:r>
        <w:rPr>
          <w:rFonts w:hint="eastAsia"/>
        </w:rPr>
        <w:t>诊断报告评估</w:t>
      </w:r>
    </w:p>
    <w:p w14:paraId="389FD6EA">
      <w:pPr>
        <w:pStyle w:val="56"/>
        <w:ind w:firstLine="420"/>
      </w:pPr>
      <w:r>
        <w:rPr>
          <w:rFonts w:hint="eastAsia"/>
        </w:rPr>
        <w:t>a）专项技术评估：由诊断机构邀请行业技术专家（工程师及以上职称人员），以评审会的形式开展专项技术方案的评审，确保信息可信、内容精要、判定准确。</w:t>
      </w:r>
    </w:p>
    <w:p w14:paraId="6704A998">
      <w:pPr>
        <w:pStyle w:val="56"/>
        <w:ind w:firstLine="420"/>
      </w:pPr>
      <w:r>
        <w:rPr>
          <w:rFonts w:hint="eastAsia"/>
        </w:rPr>
        <w:t>b）报告质量管控：诊断机构应对诊断报告进行内部质量管控。</w:t>
      </w:r>
    </w:p>
    <w:p w14:paraId="38EB1D36">
      <w:pPr>
        <w:pStyle w:val="165"/>
        <w:numPr>
          <w:ilvl w:val="0"/>
          <w:numId w:val="0"/>
        </w:numPr>
      </w:pPr>
      <w:r>
        <w:rPr>
          <w:rFonts w:hint="eastAsia" w:ascii="黑体" w:eastAsia="黑体"/>
        </w:rPr>
        <w:t>5.4.4　</w:t>
      </w:r>
      <w:r>
        <w:rPr>
          <w:rFonts w:hint="eastAsia"/>
        </w:rPr>
        <w:t>诊断报告责任要求</w:t>
      </w:r>
    </w:p>
    <w:p w14:paraId="2ECC7729">
      <w:pPr>
        <w:pStyle w:val="56"/>
        <w:ind w:firstLine="420"/>
      </w:pPr>
      <w:r>
        <w:rPr>
          <w:rFonts w:hint="eastAsia"/>
        </w:rPr>
        <w:t>对诊断机构出具的工业企业绿色诊断报告中涉及的内容，诊断机构应对真实性承担责任。在相关主管部门组织的专家论证过程中，对诊断报告内容发现疑问的，诊断机构有责任进行解释澄清。如因诊断机构诊断报告不符合要求，影响企业相关申报的，责任由诊断机构承担。</w:t>
      </w:r>
    </w:p>
    <w:p w14:paraId="750431DD">
      <w:pPr>
        <w:pStyle w:val="104"/>
        <w:spacing w:before="312" w:after="0" w:afterLines="0"/>
      </w:pPr>
      <w:bookmarkStart w:id="67" w:name="_Toc214213600"/>
      <w:r>
        <w:rPr>
          <w:rFonts w:hint="eastAsia"/>
        </w:rPr>
        <w:t>诊断内容</w:t>
      </w:r>
      <w:bookmarkEnd w:id="67"/>
    </w:p>
    <w:p w14:paraId="3CF9E08C">
      <w:pPr>
        <w:pStyle w:val="105"/>
        <w:spacing w:before="156" w:after="0" w:afterLines="0"/>
      </w:pPr>
      <w:bookmarkStart w:id="68" w:name="_Toc193944930"/>
      <w:r>
        <w:rPr>
          <w:rFonts w:hint="eastAsia"/>
        </w:rPr>
        <w:t>基础设施诊断</w:t>
      </w:r>
      <w:bookmarkEnd w:id="68"/>
    </w:p>
    <w:p w14:paraId="59283F0A">
      <w:pPr>
        <w:pStyle w:val="56"/>
        <w:ind w:firstLine="420"/>
      </w:pPr>
      <w:bookmarkStart w:id="69" w:name="_Hlk208300123"/>
      <w:r>
        <w:rPr>
          <w:rFonts w:hint="eastAsia"/>
        </w:rPr>
        <w:t>能源管理中心系统和碳排放管理系统</w:t>
      </w:r>
      <w:bookmarkEnd w:id="69"/>
      <w:r>
        <w:rPr>
          <w:rFonts w:hint="eastAsia"/>
        </w:rPr>
        <w:t>是企业做好节能降碳日常管理工作的重要支撑平台，对企业能源管理中心系统和碳排放管理系统建设情况进行调查，了解其覆盖范围、主要功能及实际管控效果。</w:t>
      </w:r>
    </w:p>
    <w:p w14:paraId="780736D9">
      <w:pPr>
        <w:pStyle w:val="56"/>
        <w:ind w:firstLine="420"/>
      </w:pPr>
      <w:r>
        <w:rPr>
          <w:rFonts w:hint="eastAsia"/>
        </w:rPr>
        <w:t>对企业建筑节能的情况进行诊断，检查内容重点包括可再生能源建筑应用系统、建筑供暖制冷系统冷热源使用情况等。</w:t>
      </w:r>
    </w:p>
    <w:p w14:paraId="47D02954">
      <w:pPr>
        <w:pStyle w:val="56"/>
        <w:ind w:firstLine="420"/>
      </w:pPr>
      <w:r>
        <w:rPr>
          <w:rFonts w:hint="eastAsia"/>
        </w:rPr>
        <w:t>对企业推广应用高效节能环保技术装备情况进行诊断，包括但不限于专用设备和通用设备，分析装备选用方面</w:t>
      </w:r>
      <w:bookmarkStart w:id="70" w:name="_Hlk208241458"/>
      <w:r>
        <w:rPr>
          <w:rFonts w:hint="eastAsia"/>
        </w:rPr>
        <w:t>存在的节能降碳潜力。</w:t>
      </w:r>
      <w:bookmarkEnd w:id="70"/>
    </w:p>
    <w:p w14:paraId="17CE5728">
      <w:pPr>
        <w:pStyle w:val="56"/>
        <w:ind w:firstLine="420"/>
      </w:pPr>
      <w:r>
        <w:rPr>
          <w:rFonts w:hint="eastAsia"/>
        </w:rPr>
        <w:t>对企业能源计量器具配备和管理情况进行检查，判断是否符合</w:t>
      </w:r>
      <w:r>
        <w:t>GB 17167</w:t>
      </w:r>
      <w:r>
        <w:rPr>
          <w:rFonts w:hint="eastAsia"/>
        </w:rPr>
        <w:t>中关于能源计量器具分级分类的要求。</w:t>
      </w:r>
      <w:r>
        <w:t xml:space="preserve"> </w:t>
      </w:r>
    </w:p>
    <w:p w14:paraId="61F252A0">
      <w:pPr>
        <w:pStyle w:val="56"/>
        <w:ind w:firstLine="420"/>
      </w:pPr>
      <w:r>
        <w:rPr>
          <w:rFonts w:hint="eastAsia"/>
        </w:rPr>
        <w:t>对</w:t>
      </w:r>
      <w:r>
        <w:t>企业用水计量器具配备</w:t>
      </w:r>
      <w:r>
        <w:rPr>
          <w:rFonts w:hint="eastAsia"/>
        </w:rPr>
        <w:t>和管理情况进行检查，判断</w:t>
      </w:r>
      <w:r>
        <w:t>是否符合GB 24789</w:t>
      </w:r>
      <w:r>
        <w:rPr>
          <w:rFonts w:hint="eastAsia"/>
        </w:rPr>
        <w:t>关于水计量器具分级分类的要求。</w:t>
      </w:r>
    </w:p>
    <w:p w14:paraId="2858ADB3">
      <w:pPr>
        <w:pStyle w:val="56"/>
        <w:ind w:firstLine="420"/>
      </w:pPr>
      <w:r>
        <w:rPr>
          <w:rFonts w:hint="eastAsia"/>
        </w:rPr>
        <w:t>对企业三废治理设施进行调查，判断是否规范建设和运行。</w:t>
      </w:r>
    </w:p>
    <w:p w14:paraId="50865A6F">
      <w:pPr>
        <w:pStyle w:val="56"/>
        <w:ind w:firstLine="420"/>
      </w:pPr>
      <w:r>
        <w:t>调查企业资源循环利用体系建设情况，分析现有模式覆盖范围、运行效率及资源节约成效，识别</w:t>
      </w:r>
      <w:r>
        <w:rPr>
          <w:rFonts w:hint="eastAsia"/>
        </w:rPr>
        <w:t>改进</w:t>
      </w:r>
      <w:r>
        <w:t>潜力点。</w:t>
      </w:r>
    </w:p>
    <w:p w14:paraId="6D0C833E">
      <w:pPr>
        <w:pStyle w:val="56"/>
        <w:ind w:firstLine="420"/>
      </w:pPr>
      <w:r>
        <w:t>诊断企业清洁生产技术推广应用情况，评估技术降污节能实际效果</w:t>
      </w:r>
      <w:r>
        <w:rPr>
          <w:rFonts w:hint="eastAsia"/>
        </w:rPr>
        <w:t>，</w:t>
      </w:r>
      <w:r>
        <w:t>调查清洁生产审核开展情况</w:t>
      </w:r>
      <w:r>
        <w:rPr>
          <w:rFonts w:hint="eastAsia"/>
        </w:rPr>
        <w:t>，</w:t>
      </w:r>
      <w:r>
        <w:t>检查清洁生产管理制度建设与执行情况，</w:t>
      </w:r>
      <w:r>
        <w:rPr>
          <w:rFonts w:hint="eastAsia"/>
        </w:rPr>
        <w:t>识别</w:t>
      </w:r>
      <w:r>
        <w:t>改进空间。</w:t>
      </w:r>
    </w:p>
    <w:p w14:paraId="1413CBDA">
      <w:pPr>
        <w:pStyle w:val="105"/>
        <w:spacing w:before="156" w:after="0" w:afterLines="0"/>
      </w:pPr>
      <w:bookmarkStart w:id="71" w:name="_Toc1154149187"/>
      <w:r>
        <w:rPr>
          <w:rFonts w:hint="eastAsia"/>
        </w:rPr>
        <w:t>绿色管理诊断</w:t>
      </w:r>
      <w:bookmarkEnd w:id="71"/>
    </w:p>
    <w:p w14:paraId="56801414">
      <w:pPr>
        <w:pStyle w:val="56"/>
        <w:ind w:firstLine="420"/>
      </w:pPr>
      <w:r>
        <w:rPr>
          <w:rFonts w:hint="eastAsia"/>
        </w:rPr>
        <w:t>绿色管理机构和管理制度是企业统筹推进绿色低碳工作的重要保障，围绕绿色管理组织机构设立、绿色生产经营相关管理制度、绿色低碳节能宣传和培训和节能降碳目标考核等方面对企业开展绿色管理诊断。</w:t>
      </w:r>
    </w:p>
    <w:p w14:paraId="0A8F31B7">
      <w:pPr>
        <w:pStyle w:val="56"/>
        <w:ind w:firstLine="420"/>
      </w:pPr>
      <w:r>
        <w:rPr>
          <w:rFonts w:hint="eastAsia"/>
        </w:rPr>
        <w:t>对企业持续开展绿色低碳转型优化规划实施情况进行调查，包括制定绿色低碳发展中长期规划、年度目标分解任务、实施方案及成效</w:t>
      </w:r>
      <w:r>
        <w:t>。</w:t>
      </w:r>
    </w:p>
    <w:p w14:paraId="3272E2EB">
      <w:pPr>
        <w:pStyle w:val="56"/>
        <w:ind w:firstLine="420"/>
      </w:pPr>
      <w:r>
        <w:rPr>
          <w:rFonts w:hint="eastAsia"/>
        </w:rPr>
        <w:t>对企业管理体系建立情况开展诊断，包括：</w:t>
      </w:r>
    </w:p>
    <w:p w14:paraId="7C781601">
      <w:pPr>
        <w:pStyle w:val="56"/>
        <w:ind w:firstLine="420"/>
      </w:pPr>
      <w:r>
        <w:rPr>
          <w:rFonts w:hint="eastAsia"/>
        </w:rPr>
        <w:t>1）建立、实施、保持满足GB/T 19001要求的质量管理体系并持续改进；</w:t>
      </w:r>
    </w:p>
    <w:p w14:paraId="25F10CE4">
      <w:pPr>
        <w:pStyle w:val="56"/>
        <w:ind w:firstLine="420"/>
      </w:pPr>
      <w:r>
        <w:rPr>
          <w:rFonts w:hint="eastAsia"/>
        </w:rPr>
        <w:t>2）建立、实施、保持满足GB/T 45001要求的职业健康安全管理体系并持续改进；</w:t>
      </w:r>
    </w:p>
    <w:p w14:paraId="2B88494B">
      <w:pPr>
        <w:pStyle w:val="56"/>
        <w:ind w:firstLine="420"/>
      </w:pPr>
      <w:r>
        <w:rPr>
          <w:rFonts w:hint="eastAsia"/>
        </w:rPr>
        <w:t>3）建立、实施、保持满足GB/T 24001要求的环境管理体系并持续改进；</w:t>
      </w:r>
    </w:p>
    <w:p w14:paraId="26707A25">
      <w:pPr>
        <w:pStyle w:val="56"/>
        <w:ind w:firstLine="420"/>
      </w:pPr>
      <w:r>
        <w:rPr>
          <w:rFonts w:hint="eastAsia"/>
        </w:rPr>
        <w:t>4）建立、实施、保持满足GB/T 23331要求的能源管理体系并持续改进。</w:t>
      </w:r>
    </w:p>
    <w:p w14:paraId="440AA440">
      <w:pPr>
        <w:pStyle w:val="56"/>
        <w:ind w:firstLine="420"/>
      </w:pPr>
      <w:r>
        <w:rPr>
          <w:rFonts w:hint="eastAsia"/>
        </w:rPr>
        <w:t>对企业披露绿色低碳发展方面的相关信息情况进行检查，包括但不限于绿色低碳发展年度专题报告、社会责任年度综合报告，公开渠道、方式等。</w:t>
      </w:r>
    </w:p>
    <w:p w14:paraId="674BF7AD">
      <w:pPr>
        <w:pStyle w:val="105"/>
        <w:spacing w:before="156" w:after="0" w:afterLines="0"/>
      </w:pPr>
      <w:bookmarkStart w:id="72" w:name="_Toc1718979811"/>
      <w:r>
        <w:rPr>
          <w:rFonts w:hint="eastAsia"/>
        </w:rPr>
        <w:t>用能设备诊断</w:t>
      </w:r>
      <w:bookmarkEnd w:id="72"/>
    </w:p>
    <w:p w14:paraId="68698C2D">
      <w:pPr>
        <w:pStyle w:val="56"/>
        <w:ind w:firstLine="420"/>
      </w:pPr>
      <w:r>
        <w:rPr>
          <w:rFonts w:hint="eastAsia"/>
        </w:rPr>
        <w:t>根据企业设备清单、节能技术应用及改造项目清单等资料，对照国家发布的先进节能技术装备清单等文件，评估先进节能技术、装备的应用情况。</w:t>
      </w:r>
    </w:p>
    <w:p w14:paraId="34337C81">
      <w:pPr>
        <w:pStyle w:val="56"/>
        <w:ind w:firstLine="420"/>
      </w:pPr>
      <w:r>
        <w:rPr>
          <w:rFonts w:hint="eastAsia"/>
        </w:rPr>
        <w:t>对照设备能效标准、管理部门颁布的重点用能产品设备能效准入水平等文件，分析评估企业主要用能设备能效水平，并报告企业执行淘汰落后设备及设备更新的实施情况。</w:t>
      </w:r>
    </w:p>
    <w:p w14:paraId="363C38C1">
      <w:pPr>
        <w:pStyle w:val="56"/>
        <w:ind w:firstLine="420"/>
      </w:pPr>
      <w:r>
        <w:t>根据</w:t>
      </w:r>
      <w:r>
        <w:rPr>
          <w:rFonts w:hint="eastAsia"/>
        </w:rPr>
        <w:t>用能</w:t>
      </w:r>
      <w:r>
        <w:t>设备运行记录</w:t>
      </w:r>
      <w:r>
        <w:rPr>
          <w:rFonts w:hint="eastAsia"/>
        </w:rPr>
        <w:t>、</w:t>
      </w:r>
      <w:r>
        <w:t>历史能效测试报告等资料，结合必要的节能监测和检查，评</w:t>
      </w:r>
      <w:r>
        <w:rPr>
          <w:rFonts w:hint="eastAsia"/>
        </w:rPr>
        <w:t>估用能设备实际运行状况，分析设备及生产工艺中存在的节能降碳潜力。</w:t>
      </w:r>
    </w:p>
    <w:p w14:paraId="3F5A206D">
      <w:pPr>
        <w:pStyle w:val="105"/>
        <w:spacing w:before="156" w:after="0" w:afterLines="0"/>
      </w:pPr>
      <w:bookmarkStart w:id="73" w:name="_Toc825584764"/>
      <w:r>
        <w:rPr>
          <w:rFonts w:hint="eastAsia"/>
        </w:rPr>
        <w:t>能源利用诊断</w:t>
      </w:r>
      <w:bookmarkEnd w:id="73"/>
    </w:p>
    <w:p w14:paraId="7F9AC70B">
      <w:pPr>
        <w:pStyle w:val="56"/>
        <w:ind w:firstLine="420"/>
      </w:pPr>
      <w:r>
        <w:rPr>
          <w:rFonts w:hint="eastAsia"/>
        </w:rPr>
        <w:t>能源低碳化是绿色转型发展的重要突破口，从用能变化、用能结构、余能利用、可再生能源利用等方面对企业用能情况开展诊断：</w:t>
      </w:r>
    </w:p>
    <w:p w14:paraId="6FD2DBD7">
      <w:pPr>
        <w:pStyle w:val="56"/>
        <w:ind w:firstLine="420"/>
      </w:pPr>
      <w:r>
        <w:rPr>
          <w:rFonts w:hint="eastAsia"/>
        </w:rPr>
        <w:t>1）分析企业近两年各能源消费实物量和综合能耗变化；</w:t>
      </w:r>
    </w:p>
    <w:p w14:paraId="0748C836">
      <w:pPr>
        <w:pStyle w:val="56"/>
        <w:ind w:firstLine="420"/>
      </w:pPr>
      <w:r>
        <w:rPr>
          <w:rFonts w:hint="eastAsia"/>
        </w:rPr>
        <w:t>2）分析企业近两年各能源品种消费量占综合能源消费量的比例；</w:t>
      </w:r>
    </w:p>
    <w:p w14:paraId="0E3571E6">
      <w:pPr>
        <w:pStyle w:val="56"/>
        <w:ind w:firstLine="420"/>
      </w:pPr>
      <w:r>
        <w:rPr>
          <w:rFonts w:hint="eastAsia"/>
        </w:rPr>
        <w:t>3）分析企业能源损失及余热余能回收利用情况；</w:t>
      </w:r>
    </w:p>
    <w:p w14:paraId="335F3376">
      <w:pPr>
        <w:pStyle w:val="56"/>
        <w:ind w:firstLine="420"/>
      </w:pPr>
      <w:r>
        <w:rPr>
          <w:rFonts w:hint="eastAsia"/>
        </w:rPr>
        <w:t>4）调查企业推广应用太阳能、地热能、空气能、生物质能、氢能、氨能等可再生能源利用情况；</w:t>
      </w:r>
    </w:p>
    <w:p w14:paraId="66460477">
      <w:pPr>
        <w:pStyle w:val="56"/>
        <w:ind w:firstLine="420"/>
      </w:pPr>
      <w:r>
        <w:rPr>
          <w:rFonts w:hint="eastAsia"/>
        </w:rPr>
        <w:t>5）调查企业参与绿证/绿电交易情况。</w:t>
      </w:r>
    </w:p>
    <w:p w14:paraId="272637D4">
      <w:pPr>
        <w:pStyle w:val="56"/>
        <w:ind w:firstLine="420"/>
      </w:pPr>
      <w:r>
        <w:rPr>
          <w:rFonts w:hint="eastAsia"/>
        </w:rPr>
        <w:t>参考</w:t>
      </w:r>
      <w:r>
        <w:t>GB/T 2589</w:t>
      </w:r>
      <w:r>
        <w:rPr>
          <w:rFonts w:hint="eastAsia"/>
        </w:rPr>
        <w:t>或适用的能耗计算标准规范，核算企业单位产值综合能耗、单位产品（综合）能耗、工序考核能耗等能效指标，并与相关能效限额标准或同行企业进行对标分析，判定能效水平。</w:t>
      </w:r>
    </w:p>
    <w:p w14:paraId="00387764">
      <w:pPr>
        <w:pStyle w:val="105"/>
        <w:spacing w:before="156" w:after="0" w:afterLines="0"/>
      </w:pPr>
      <w:bookmarkStart w:id="74" w:name="_Toc1124545324"/>
      <w:r>
        <w:rPr>
          <w:rFonts w:hint="eastAsia"/>
        </w:rPr>
        <w:t>资源利用诊断</w:t>
      </w:r>
      <w:bookmarkEnd w:id="74"/>
    </w:p>
    <w:p w14:paraId="1148F3B9">
      <w:pPr>
        <w:pStyle w:val="56"/>
        <w:ind w:firstLine="420"/>
      </w:pPr>
      <w:bookmarkStart w:id="75" w:name="_Hlk208307776"/>
      <w:r>
        <w:rPr>
          <w:rFonts w:hint="eastAsia"/>
        </w:rPr>
        <w:t>对企业开展水资源节约利用诊断，梳理企业主要节约用水措施，</w:t>
      </w:r>
      <w:bookmarkEnd w:id="75"/>
      <w:r>
        <w:rPr>
          <w:rFonts w:hint="eastAsia"/>
        </w:rPr>
        <w:t>对标</w:t>
      </w:r>
      <w:r>
        <w:t>GB/T 18916中对应行业的取水定额要求</w:t>
      </w:r>
      <w:r>
        <w:rPr>
          <w:rFonts w:hint="eastAsia"/>
        </w:rPr>
        <w:t>，评估企业节约用水改造提升潜力</w:t>
      </w:r>
      <w:r>
        <w:t>。</w:t>
      </w:r>
    </w:p>
    <w:p w14:paraId="36BAC31F">
      <w:pPr>
        <w:pStyle w:val="56"/>
        <w:ind w:firstLine="420"/>
      </w:pPr>
      <w:r>
        <w:rPr>
          <w:rFonts w:hint="eastAsia"/>
        </w:rPr>
        <w:t>对企业开展原材料节约利用诊断，梳理企业主要原材料节约利用措施，按照“减量化、再利用、再循环”的原则，分析可能存在的原材料综合利用率提升途径。</w:t>
      </w:r>
    </w:p>
    <w:p w14:paraId="35DC45F9">
      <w:pPr>
        <w:pStyle w:val="56"/>
        <w:ind w:firstLine="420"/>
      </w:pPr>
      <w:r>
        <w:rPr>
          <w:rFonts w:hint="eastAsia"/>
        </w:rPr>
        <w:t>对企业的循环经济的情况进行诊断，全面了解企业的资源综合利用水平。</w:t>
      </w:r>
    </w:p>
    <w:p w14:paraId="5E7538F9">
      <w:pPr>
        <w:pStyle w:val="56"/>
        <w:ind w:firstLine="420"/>
      </w:pPr>
      <w:bookmarkStart w:id="76" w:name="OLE_LINK2"/>
      <w:r>
        <w:rPr>
          <w:rFonts w:hint="eastAsia"/>
        </w:rPr>
        <w:t>对企业开展清洁生产审核情况进行调查，判断其清洁生产水平，识别出</w:t>
      </w:r>
      <w:bookmarkEnd w:id="76"/>
      <w:r>
        <w:rPr>
          <w:rFonts w:hint="eastAsia"/>
        </w:rPr>
        <w:t>节能降碳、减排增效主要的潜在机会。</w:t>
      </w:r>
    </w:p>
    <w:p w14:paraId="5217884A">
      <w:pPr>
        <w:pStyle w:val="105"/>
        <w:spacing w:before="156" w:after="0" w:afterLines="0"/>
      </w:pPr>
      <w:bookmarkStart w:id="77" w:name="_Toc1576711028"/>
      <w:r>
        <w:rPr>
          <w:rFonts w:hint="eastAsia"/>
        </w:rPr>
        <w:t>二氧化碳排放诊断</w:t>
      </w:r>
      <w:bookmarkEnd w:id="77"/>
    </w:p>
    <w:p w14:paraId="6BD464EF">
      <w:pPr>
        <w:pStyle w:val="56"/>
        <w:ind w:firstLine="420"/>
      </w:pPr>
      <w:r>
        <w:rPr>
          <w:rFonts w:hint="eastAsia"/>
        </w:rPr>
        <w:t>按照GB/T 32150、</w:t>
      </w:r>
      <w:bookmarkStart w:id="78" w:name="_Hlk208339660"/>
      <w:r>
        <w:rPr>
          <w:rFonts w:hint="eastAsia"/>
        </w:rPr>
        <w:t>GB/T 32151</w:t>
      </w:r>
      <w:bookmarkEnd w:id="78"/>
      <w:r>
        <w:rPr>
          <w:rFonts w:hint="eastAsia"/>
        </w:rPr>
        <w:t>或其他适用的标准，重点核算工厂边界范围内二氧化碳排放量，识别出主要排放源和排放结构，结合节能降碳技术发展现状和企业实际，提出科学可行的二氧化碳减排策略。</w:t>
      </w:r>
    </w:p>
    <w:p w14:paraId="4E310DCC">
      <w:pPr>
        <w:pStyle w:val="105"/>
        <w:spacing w:before="156" w:after="0" w:afterLines="0"/>
      </w:pPr>
      <w:bookmarkStart w:id="79" w:name="_Toc130256126"/>
      <w:r>
        <w:rPr>
          <w:rFonts w:hint="eastAsia"/>
        </w:rPr>
        <w:t>环境排放诊断</w:t>
      </w:r>
      <w:bookmarkEnd w:id="79"/>
    </w:p>
    <w:p w14:paraId="4AEB3761">
      <w:pPr>
        <w:pStyle w:val="56"/>
        <w:ind w:firstLine="420"/>
      </w:pPr>
      <w:r>
        <w:rPr>
          <w:rFonts w:hint="eastAsia"/>
        </w:rPr>
        <w:t>“三废”和噪音是环境排放管理的重要考量因素，需对企业“三废”处置和噪音治理效果开展诊断，判断是否满足国家和地方规定的排放要求。</w:t>
      </w:r>
    </w:p>
    <w:p w14:paraId="3CB87023">
      <w:pPr>
        <w:pStyle w:val="56"/>
        <w:ind w:firstLine="420"/>
      </w:pPr>
      <w:r>
        <w:rPr>
          <w:rFonts w:hint="eastAsia"/>
        </w:rPr>
        <w:t>调查企业大气污染物排放是否符合相关国家标准、行业标准及地方标准要求，是否满足区域内排放总量控制要求。</w:t>
      </w:r>
    </w:p>
    <w:p w14:paraId="0AB2B7C6">
      <w:pPr>
        <w:pStyle w:val="56"/>
        <w:ind w:firstLine="420"/>
      </w:pPr>
      <w:r>
        <w:rPr>
          <w:rFonts w:hint="eastAsia"/>
        </w:rPr>
        <w:t>调查企业水体污染物排放是否符合相关国家标准、行业标准及地方标准要求，是否满足区域内排放总量控制要求。</w:t>
      </w:r>
    </w:p>
    <w:p w14:paraId="0540DE3B">
      <w:pPr>
        <w:pStyle w:val="56"/>
        <w:ind w:firstLine="420"/>
      </w:pPr>
      <w:r>
        <w:rPr>
          <w:rFonts w:hint="eastAsia"/>
        </w:rPr>
        <w:t>调查企业一般工业固体废弃物处理是否符合GB18599及相关标准的要求。</w:t>
      </w:r>
    </w:p>
    <w:p w14:paraId="249A32DC">
      <w:pPr>
        <w:pStyle w:val="56"/>
        <w:ind w:firstLine="420"/>
      </w:pPr>
      <w:r>
        <w:rPr>
          <w:rFonts w:hint="eastAsia"/>
        </w:rPr>
        <w:t>调查企业危险废弃物处置是否满足《中华人民共和国危险废物治理法》、《危险废物运输管理办法》及GB 18597等相关法律法规和标准规范要求。</w:t>
      </w:r>
    </w:p>
    <w:p w14:paraId="4A9DE8F4">
      <w:pPr>
        <w:pStyle w:val="105"/>
        <w:spacing w:before="156" w:after="0" w:afterLines="0"/>
      </w:pPr>
      <w:bookmarkStart w:id="80" w:name="_Toc1531295350"/>
      <w:r>
        <w:rPr>
          <w:rFonts w:hint="eastAsia"/>
        </w:rPr>
        <w:t>绿色供应链诊断</w:t>
      </w:r>
      <w:bookmarkEnd w:id="80"/>
    </w:p>
    <w:p w14:paraId="26FEB9F9">
      <w:pPr>
        <w:pStyle w:val="56"/>
        <w:ind w:firstLine="420"/>
      </w:pPr>
      <w:r>
        <w:rPr>
          <w:rFonts w:hint="eastAsia"/>
        </w:rPr>
        <w:t>从产品全生命周期过程考虑原材料获取、生产制造、包装运输、使用维护和废弃处理等环节对企业开展产品生态优化设计情况进行调查，包括减少有毒有害物质使用，提高产品的耐用性、可重复使用性、可升级性、可修复性、可循环使用率等，努力减少对环境的影响。</w:t>
      </w:r>
    </w:p>
    <w:p w14:paraId="15315D6D">
      <w:pPr>
        <w:pStyle w:val="56"/>
        <w:ind w:firstLine="420"/>
      </w:pPr>
      <w:r>
        <w:rPr>
          <w:rFonts w:hint="eastAsia"/>
        </w:rPr>
        <w:t>对企业开展绿色采购情况进行调查，包括是否建立完善的绿色采购管理体系，制定绿色采购标准和规范，对供应商环境表现进行评估与分级，积极推进供应链绿色低碳建设。</w:t>
      </w:r>
    </w:p>
    <w:p w14:paraId="21D9DB84">
      <w:pPr>
        <w:pStyle w:val="56"/>
        <w:ind w:firstLine="420"/>
      </w:pPr>
      <w:r>
        <w:rPr>
          <w:rFonts w:hint="eastAsia"/>
        </w:rPr>
        <w:t>调查企业产品质量和性能满足国家相关标准规范要求情况，其中有毒有害物质限量使用关乎产品绿色环保性能，需重点关注。</w:t>
      </w:r>
    </w:p>
    <w:p w14:paraId="3DC72448">
      <w:pPr>
        <w:pStyle w:val="105"/>
        <w:spacing w:before="156" w:after="0" w:afterLines="0"/>
      </w:pPr>
      <w:bookmarkStart w:id="81" w:name="_Toc1128350461"/>
      <w:r>
        <w:rPr>
          <w:rFonts w:hint="eastAsia"/>
        </w:rPr>
        <w:t>绿色绩效诊断</w:t>
      </w:r>
      <w:bookmarkEnd w:id="81"/>
    </w:p>
    <w:p w14:paraId="1BC7A305">
      <w:pPr>
        <w:pStyle w:val="56"/>
        <w:ind w:firstLine="420"/>
      </w:pPr>
      <w:r>
        <w:rPr>
          <w:rFonts w:hint="eastAsia"/>
        </w:rPr>
        <w:t>在能源利用、</w:t>
      </w:r>
      <w:bookmarkStart w:id="82" w:name="_Hlk208338841"/>
      <w:r>
        <w:rPr>
          <w:rFonts w:hint="eastAsia"/>
        </w:rPr>
        <w:t>资源节约</w:t>
      </w:r>
      <w:bookmarkEnd w:id="82"/>
      <w:r>
        <w:rPr>
          <w:rFonts w:hint="eastAsia"/>
        </w:rPr>
        <w:t>、环境保护和低碳减排等方面筛选出主要诊断指标，开展行业或同行对标分析，评估企业绿色低碳发展水平高低，对标先进找差距，识别出可能的潜在改造提升机会。</w:t>
      </w:r>
    </w:p>
    <w:p w14:paraId="54C5A785">
      <w:pPr>
        <w:pStyle w:val="56"/>
        <w:ind w:firstLine="420"/>
      </w:pPr>
      <w:r>
        <w:rPr>
          <w:rFonts w:hint="eastAsia"/>
        </w:rPr>
        <w:t>能源利用绩效指标可选择单位产品（产值）综合能耗，</w:t>
      </w:r>
      <w:bookmarkStart w:id="83" w:name="_Hlk208339121"/>
      <w:r>
        <w:rPr>
          <w:rFonts w:hint="eastAsia"/>
        </w:rPr>
        <w:t>指标计算可参考</w:t>
      </w:r>
      <w:bookmarkEnd w:id="83"/>
      <w:r>
        <w:t>GB/T 2589</w:t>
      </w:r>
      <w:r>
        <w:rPr>
          <w:rFonts w:hint="eastAsia"/>
        </w:rPr>
        <w:t>，能效对标可参考相关能耗限额标准。</w:t>
      </w:r>
    </w:p>
    <w:p w14:paraId="3DB875B4">
      <w:pPr>
        <w:pStyle w:val="56"/>
        <w:ind w:firstLine="420"/>
      </w:pPr>
      <w:r>
        <w:rPr>
          <w:rFonts w:hint="eastAsia"/>
        </w:rPr>
        <w:t>资源节约绩效指标可选择单位产品主要原材料消耗量、工业固体废物综合利用率、工业用水重复利用率、废水回用率，</w:t>
      </w:r>
      <w:bookmarkStart w:id="84" w:name="_Hlk208339599"/>
      <w:r>
        <w:rPr>
          <w:rFonts w:hint="eastAsia"/>
        </w:rPr>
        <w:t>指标计算可参考</w:t>
      </w:r>
      <w:r>
        <w:t>GB/T 29115</w:t>
      </w:r>
      <w:r>
        <w:rPr>
          <w:rFonts w:hint="eastAsia"/>
        </w:rPr>
        <w:t>、</w:t>
      </w:r>
      <w:r>
        <w:t>GB/T 36132</w:t>
      </w:r>
      <w:r>
        <w:rPr>
          <w:rFonts w:hint="eastAsia"/>
        </w:rPr>
        <w:t>等相关标准，指标对标可参考行业清洁生产诊断指标体系。</w:t>
      </w:r>
      <w:bookmarkEnd w:id="84"/>
    </w:p>
    <w:p w14:paraId="688852CE">
      <w:pPr>
        <w:pStyle w:val="56"/>
        <w:ind w:firstLine="420"/>
      </w:pPr>
      <w:r>
        <w:rPr>
          <w:rFonts w:hint="eastAsia"/>
        </w:rPr>
        <w:t>环境保护绩效指标可选择</w:t>
      </w:r>
      <w:r>
        <w:t>单位产品</w:t>
      </w:r>
      <w:r>
        <w:rPr>
          <w:rFonts w:hint="eastAsia"/>
        </w:rPr>
        <w:t>（产值）</w:t>
      </w:r>
      <w:r>
        <w:t>主要污染物产生量</w:t>
      </w:r>
      <w:r>
        <w:rPr>
          <w:rFonts w:hint="eastAsia"/>
        </w:rPr>
        <w:t>（主要污染物包括颗粒物、二氧化硫、氮氧化物、挥发性有机物、氨氮、化学需氧量等）、单位产品废水产生量、单位产品废气产生量，指标计算可参考</w:t>
      </w:r>
      <w:r>
        <w:t>GB/T 36132</w:t>
      </w:r>
      <w:r>
        <w:rPr>
          <w:rFonts w:hint="eastAsia"/>
        </w:rPr>
        <w:t>等相关标准，指标对标可参考行业清洁生产诊断指标体系。</w:t>
      </w:r>
    </w:p>
    <w:p w14:paraId="50DD8F90">
      <w:pPr>
        <w:pStyle w:val="56"/>
        <w:ind w:firstLine="420"/>
      </w:pPr>
      <w:r>
        <w:rPr>
          <w:rFonts w:hint="eastAsia"/>
        </w:rPr>
        <w:t>低碳减排绩效指标可选择单位产品（产值）碳排放量，单位产品碳足迹，指标计算可参考</w:t>
      </w:r>
      <w:r>
        <w:t>GB/T 32151</w:t>
      </w:r>
      <w:r>
        <w:rPr>
          <w:rFonts w:hint="eastAsia"/>
        </w:rPr>
        <w:t>、</w:t>
      </w:r>
      <w:r>
        <w:t>GB/T 24067等相关标准，指标对标可参考</w:t>
      </w:r>
      <w:r>
        <w:rPr>
          <w:rFonts w:hint="eastAsia"/>
        </w:rPr>
        <w:t>相关标准规范</w:t>
      </w:r>
      <w:r>
        <w:t>。</w:t>
      </w:r>
    </w:p>
    <w:p w14:paraId="5ED96246">
      <w:pPr>
        <w:pStyle w:val="105"/>
        <w:spacing w:before="156" w:after="0" w:afterLines="0"/>
      </w:pPr>
      <w:bookmarkStart w:id="85" w:name="_Toc1817522067"/>
      <w:r>
        <w:rPr>
          <w:rFonts w:hint="eastAsia"/>
        </w:rPr>
        <w:t>绿色发展水平量化指标汇总</w:t>
      </w:r>
      <w:bookmarkEnd w:id="85"/>
    </w:p>
    <w:p w14:paraId="549C04E6">
      <w:pPr>
        <w:pStyle w:val="56"/>
        <w:ind w:firstLine="420"/>
      </w:pPr>
      <w:r>
        <w:rPr>
          <w:rFonts w:hint="eastAsia"/>
        </w:rPr>
        <w:t>填写企业近</w:t>
      </w:r>
      <w:r>
        <w:t>2</w:t>
      </w:r>
      <w:r>
        <w:rPr>
          <w:rFonts w:hint="eastAsia"/>
        </w:rPr>
        <w:t>年</w:t>
      </w:r>
      <w:r>
        <w:rPr>
          <w:rFonts w:hint="eastAsia"/>
          <w:lang w:bidi="ar"/>
        </w:rPr>
        <w:t>企业绿色发展情况汇总表</w:t>
      </w:r>
      <w:r>
        <w:rPr>
          <w:rFonts w:hint="eastAsia"/>
        </w:rPr>
        <w:t>，见附录A。</w:t>
      </w:r>
    </w:p>
    <w:p w14:paraId="0074D3DC">
      <w:pPr>
        <w:pStyle w:val="56"/>
        <w:ind w:firstLine="420"/>
      </w:pPr>
      <w:r>
        <w:rPr>
          <w:rFonts w:hint="eastAsia"/>
        </w:rPr>
        <w:t>按照GB/T 36132、企业所属行业的绿色工厂评价行业标准，进行绿色发展水平量化诊断。</w:t>
      </w:r>
    </w:p>
    <w:p w14:paraId="1CF04C68">
      <w:pPr>
        <w:pStyle w:val="105"/>
        <w:spacing w:before="156" w:after="0" w:afterLines="0"/>
      </w:pPr>
      <w:bookmarkStart w:id="86" w:name="_Toc2144016052"/>
      <w:r>
        <w:rPr>
          <w:rFonts w:hint="eastAsia"/>
        </w:rPr>
        <w:t>绿色发展潜力分析与建议</w:t>
      </w:r>
      <w:bookmarkEnd w:id="86"/>
    </w:p>
    <w:p w14:paraId="49AFEF13">
      <w:pPr>
        <w:pStyle w:val="56"/>
        <w:ind w:firstLine="420"/>
      </w:pPr>
      <w:r>
        <w:rPr>
          <w:rFonts w:hint="eastAsia"/>
        </w:rPr>
        <w:t>企业绿色发展潜力宜采用多种方法从不同角度分析，主要分析方法：</w:t>
      </w:r>
    </w:p>
    <w:p w14:paraId="7D738134">
      <w:pPr>
        <w:pStyle w:val="56"/>
        <w:ind w:firstLine="420"/>
      </w:pPr>
      <w:r>
        <w:rPr>
          <w:rFonts w:hint="eastAsia"/>
        </w:rPr>
        <w:t>a)问题切入法，针对企业或生产装置运行过程存在的问题，有针对性地进行评价分析，提出解决方案；</w:t>
      </w:r>
    </w:p>
    <w:p w14:paraId="5330B38E">
      <w:pPr>
        <w:pStyle w:val="56"/>
        <w:ind w:firstLine="420"/>
      </w:pPr>
      <w:r>
        <w:rPr>
          <w:rFonts w:hint="eastAsia"/>
        </w:rPr>
        <w:t>b)标准对比法，将绿色发展指标与相关标准进行对比分析，查找存在的问题及可能采取的措施；</w:t>
      </w:r>
    </w:p>
    <w:p w14:paraId="0E653E9B">
      <w:pPr>
        <w:pStyle w:val="56"/>
        <w:ind w:firstLine="420"/>
      </w:pPr>
      <w:r>
        <w:rPr>
          <w:rFonts w:hint="eastAsia"/>
        </w:rPr>
        <w:t>c)先进对照分析法，将企业消耗或排放指标与同行业先进水平对比分析，判断采用先进技术的改善潜力；</w:t>
      </w:r>
    </w:p>
    <w:p w14:paraId="5D1F88FD">
      <w:pPr>
        <w:pStyle w:val="56"/>
        <w:ind w:firstLine="420"/>
      </w:pPr>
      <w:r>
        <w:rPr>
          <w:rFonts w:hint="eastAsia"/>
        </w:rPr>
        <w:t>d)指标分析法，对产品或工序的能耗、水耗、碳排放及污染物排放量进行分析，查找改进潜力；</w:t>
      </w:r>
    </w:p>
    <w:p w14:paraId="1DD73318">
      <w:pPr>
        <w:pStyle w:val="56"/>
        <w:ind w:firstLine="420"/>
      </w:pPr>
      <w:r>
        <w:rPr>
          <w:rFonts w:hint="eastAsia"/>
        </w:rPr>
        <w:t>e)与设计值对比分析法，将生产运行指标与设计值比较，分析节能、节水、污染物减排潜力及可能采取的措施；</w:t>
      </w:r>
    </w:p>
    <w:p w14:paraId="63CFE9BF">
      <w:pPr>
        <w:pStyle w:val="56"/>
        <w:ind w:firstLine="420"/>
      </w:pPr>
      <w:r>
        <w:rPr>
          <w:rFonts w:hint="eastAsia"/>
        </w:rPr>
        <w:t>f)测试分析法，将现场测试数据与设计值、最佳实践值比较，判断绿色发展潜力。</w:t>
      </w:r>
    </w:p>
    <w:p w14:paraId="3A472FE9">
      <w:pPr>
        <w:pStyle w:val="56"/>
        <w:ind w:firstLine="420"/>
      </w:pPr>
      <w:r>
        <w:rPr>
          <w:rFonts w:hint="eastAsia"/>
        </w:rPr>
        <w:t>根据绿色管理水平评价情况，提出加强环境排放、资源能源投入、碳排放管理的措施。</w:t>
      </w:r>
    </w:p>
    <w:p w14:paraId="5805CA38">
      <w:pPr>
        <w:pStyle w:val="56"/>
        <w:ind w:firstLine="420"/>
      </w:pPr>
      <w:r>
        <w:rPr>
          <w:rFonts w:hint="eastAsia"/>
        </w:rPr>
        <w:t>根据对工艺过程资源能源投入的诊断，分析并提出工艺改造的技术措施。</w:t>
      </w:r>
    </w:p>
    <w:p w14:paraId="712BB89B">
      <w:pPr>
        <w:pStyle w:val="56"/>
        <w:ind w:firstLine="420"/>
      </w:pPr>
      <w:r>
        <w:rPr>
          <w:rFonts w:hint="eastAsia"/>
        </w:rPr>
        <w:t>根据对用能系统现场诊断，分析主要用能设备效率，并提出用能系统改造的技术措施。</w:t>
      </w:r>
    </w:p>
    <w:p w14:paraId="35561296">
      <w:pPr>
        <w:pStyle w:val="56"/>
        <w:ind w:firstLine="420"/>
      </w:pPr>
      <w:r>
        <w:rPr>
          <w:rFonts w:hint="eastAsia"/>
        </w:rPr>
        <w:t>根据对用水系统现场诊断，分析并提出用水系统改造的技术措施。</w:t>
      </w:r>
    </w:p>
    <w:p w14:paraId="4213DD22">
      <w:pPr>
        <w:pStyle w:val="56"/>
        <w:ind w:firstLine="420"/>
      </w:pPr>
      <w:bookmarkStart w:id="87" w:name="_Hlk208339926"/>
      <w:r>
        <w:rPr>
          <w:rFonts w:hint="eastAsia"/>
        </w:rPr>
        <w:t>根据企业生产过程消耗的能源资源品种，提出有利于绿色发展的结构调整措施。</w:t>
      </w:r>
    </w:p>
    <w:bookmarkEnd w:id="87"/>
    <w:p w14:paraId="0F1736A0">
      <w:pPr>
        <w:pStyle w:val="56"/>
        <w:ind w:firstLine="420"/>
      </w:pPr>
      <w:r>
        <w:rPr>
          <w:rFonts w:hint="eastAsia"/>
        </w:rPr>
        <w:t>根据企业污染源排放治理情况，提出减少污染排放的环境保护措施。</w:t>
      </w:r>
    </w:p>
    <w:p w14:paraId="0897405D">
      <w:pPr>
        <w:pStyle w:val="56"/>
        <w:ind w:firstLine="420"/>
      </w:pPr>
      <w:r>
        <w:rPr>
          <w:rFonts w:hint="eastAsia"/>
        </w:rPr>
        <w:t>根据温室气体排放盘查和单位产品碳排放强度核算结果，提出减少企业碳排放的技术措施。</w:t>
      </w:r>
    </w:p>
    <w:p w14:paraId="2D8CF804">
      <w:pPr>
        <w:pStyle w:val="104"/>
        <w:spacing w:before="312" w:after="0" w:afterLines="0"/>
      </w:pPr>
      <w:bookmarkStart w:id="88" w:name="_Toc1119995141"/>
      <w:r>
        <w:rPr>
          <w:rFonts w:hint="eastAsia"/>
        </w:rPr>
        <w:t>诊断结果应用</w:t>
      </w:r>
      <w:bookmarkEnd w:id="88"/>
    </w:p>
    <w:p w14:paraId="14138F31">
      <w:pPr>
        <w:pStyle w:val="105"/>
        <w:spacing w:before="156" w:after="0" w:afterLines="0"/>
      </w:pPr>
      <w:bookmarkStart w:id="89" w:name="_Toc1860427216"/>
      <w:r>
        <w:t>跟踪原则</w:t>
      </w:r>
      <w:bookmarkEnd w:id="89"/>
    </w:p>
    <w:p w14:paraId="4D690731">
      <w:pPr>
        <w:pStyle w:val="56"/>
        <w:ind w:firstLine="420"/>
      </w:pPr>
      <w:r>
        <w:t>遵循客观真实、系统全面、及时高效、闭环管理原则，建立 “诊断-改进-验证-优化” 的企业绿色发展持续改进机制，确保跟踪数据可追溯、结果可验证、问题可闭环。</w:t>
      </w:r>
    </w:p>
    <w:p w14:paraId="5145CC13">
      <w:pPr>
        <w:pStyle w:val="105"/>
        <w:spacing w:before="156" w:after="0" w:afterLines="0"/>
      </w:pPr>
      <w:bookmarkStart w:id="90" w:name="_Toc2341682"/>
      <w:r>
        <w:t>组织与职责</w:t>
      </w:r>
      <w:bookmarkEnd w:id="90"/>
    </w:p>
    <w:p w14:paraId="7DB2D69B">
      <w:pPr>
        <w:pStyle w:val="65"/>
        <w:spacing w:before="156" w:after="0" w:afterLines="0"/>
      </w:pPr>
      <w:r>
        <w:t>组织主体</w:t>
      </w:r>
    </w:p>
    <w:p w14:paraId="50DFF31E">
      <w:pPr>
        <w:pStyle w:val="56"/>
        <w:ind w:firstLine="420"/>
      </w:pPr>
      <w:r>
        <w:t>跟踪工作由开展绿色诊断的第三方技术服务机构牵头，企业指定</w:t>
      </w:r>
      <w:r>
        <w:rPr>
          <w:rFonts w:hint="eastAsia"/>
        </w:rPr>
        <w:t>相关</w:t>
      </w:r>
      <w:r>
        <w:t>部门或专人配合；必要时可邀请行业技术专家参与，提供技术支持。</w:t>
      </w:r>
    </w:p>
    <w:p w14:paraId="3A7E94A6">
      <w:pPr>
        <w:pStyle w:val="65"/>
        <w:spacing w:before="156" w:after="0" w:afterLines="0"/>
      </w:pPr>
      <w:r>
        <w:t>职责分工</w:t>
      </w:r>
    </w:p>
    <w:p w14:paraId="25197A79">
      <w:pPr>
        <w:pStyle w:val="56"/>
        <w:ind w:firstLine="420"/>
      </w:pPr>
      <w:r>
        <w:t>第三方技术服务机构：制定跟踪计划，开展资料核查与现场验证，编制跟踪报告，跟踪问题整改落实；</w:t>
      </w:r>
    </w:p>
    <w:p w14:paraId="5D7C4973">
      <w:pPr>
        <w:pStyle w:val="56"/>
        <w:ind w:firstLine="420"/>
      </w:pPr>
      <w:r>
        <w:t>企业：提供改进措施实施相关资料（含竣工报告、运行记录等），配合现场核查，反馈实施难点，落实整改措施；</w:t>
      </w:r>
    </w:p>
    <w:p w14:paraId="041AA449">
      <w:pPr>
        <w:pStyle w:val="56"/>
        <w:ind w:firstLine="420"/>
      </w:pPr>
      <w:r>
        <w:t>行业技术专家（如需）：针对技术难题提供解决方案，验证改进措施的科学性与可行性。</w:t>
      </w:r>
    </w:p>
    <w:p w14:paraId="0D1D4064">
      <w:pPr>
        <w:pStyle w:val="105"/>
        <w:spacing w:before="156" w:after="0" w:afterLines="0"/>
      </w:pPr>
      <w:bookmarkStart w:id="91" w:name="_Toc917432237"/>
      <w:r>
        <w:t>跟踪时限</w:t>
      </w:r>
      <w:bookmarkEnd w:id="91"/>
    </w:p>
    <w:p w14:paraId="363BF4D3">
      <w:pPr>
        <w:pStyle w:val="65"/>
        <w:spacing w:before="156" w:after="0" w:afterLines="0"/>
      </w:pPr>
      <w:r>
        <w:t>首次跟踪</w:t>
      </w:r>
    </w:p>
    <w:p w14:paraId="352C1AD8">
      <w:pPr>
        <w:pStyle w:val="56"/>
        <w:ind w:firstLine="420"/>
      </w:pPr>
      <w:r>
        <w:t>绿色诊断报告出具后2个月内启动，自启动之日起</w:t>
      </w:r>
      <w:r>
        <w:rPr>
          <w:rFonts w:hint="eastAsia"/>
        </w:rPr>
        <w:t>30</w:t>
      </w:r>
      <w:r>
        <w:t>个工作日内完成，形成《首次跟踪报告》。</w:t>
      </w:r>
    </w:p>
    <w:p w14:paraId="780EA24A">
      <w:pPr>
        <w:pStyle w:val="65"/>
        <w:spacing w:before="156" w:after="0" w:afterLines="0"/>
      </w:pPr>
      <w:r>
        <w:t>定期跟踪</w:t>
      </w:r>
    </w:p>
    <w:p w14:paraId="6474D835">
      <w:pPr>
        <w:pStyle w:val="56"/>
        <w:ind w:firstLine="420"/>
      </w:pPr>
      <w:r>
        <w:t>首次跟踪完成后，每12个月开展1次定期跟踪；自首次跟踪完成月份的次月起启动，</w:t>
      </w:r>
      <w:r>
        <w:rPr>
          <w:rFonts w:hint="eastAsia"/>
        </w:rPr>
        <w:t>20</w:t>
      </w:r>
      <w:r>
        <w:t>个工作日内完成，形成《定期跟踪报告》。</w:t>
      </w:r>
    </w:p>
    <w:p w14:paraId="719755AC">
      <w:pPr>
        <w:pStyle w:val="105"/>
        <w:spacing w:before="156" w:after="0" w:afterLines="0"/>
      </w:pPr>
      <w:bookmarkStart w:id="92" w:name="_Toc133585768"/>
      <w:r>
        <w:t>跟踪报告编制与提交</w:t>
      </w:r>
      <w:bookmarkEnd w:id="92"/>
    </w:p>
    <w:p w14:paraId="55BEA151">
      <w:pPr>
        <w:pStyle w:val="56"/>
        <w:ind w:firstLine="420"/>
      </w:pPr>
      <w:r>
        <w:rPr>
          <w:rFonts w:hint="eastAsia"/>
        </w:rPr>
        <w:t>跟踪报告内容</w:t>
      </w:r>
      <w:r>
        <w:t>包括跟踪概况（时间、人员、范围）、实施情况核查结果、效果评估、问题与整改建议。</w:t>
      </w:r>
    </w:p>
    <w:p w14:paraId="0D3F87C1">
      <w:pPr>
        <w:pStyle w:val="105"/>
        <w:spacing w:before="156" w:after="0" w:afterLines="0"/>
      </w:pPr>
      <w:bookmarkStart w:id="93" w:name="_Toc2048257218"/>
      <w:r>
        <w:t>跟踪结果应用</w:t>
      </w:r>
      <w:bookmarkEnd w:id="93"/>
    </w:p>
    <w:p w14:paraId="5947BD18">
      <w:pPr>
        <w:pStyle w:val="56"/>
        <w:ind w:firstLine="420"/>
      </w:pPr>
      <w:r>
        <w:t>企业层面：将结果作为绿色发展战略优化依据，固化有效措施；</w:t>
      </w:r>
    </w:p>
    <w:p w14:paraId="302E3496">
      <w:pPr>
        <w:pStyle w:val="56"/>
        <w:ind w:firstLine="420"/>
      </w:pPr>
      <w:r>
        <w:t>第三方机构层面：汇总跟踪数据，优化诊断方法，建立行业案例库，提升后续服务针对性；</w:t>
      </w:r>
    </w:p>
    <w:p w14:paraId="77A4236C">
      <w:pPr>
        <w:pStyle w:val="56"/>
        <w:ind w:firstLine="420"/>
      </w:pPr>
      <w:r>
        <w:t>行业层面：企业可通过行业协会等平台分享跟踪成果，借鉴绿色转型经验，推动产业整体绿色化水平提升。</w:t>
      </w:r>
    </w:p>
    <w:p w14:paraId="6EEFEAA1">
      <w:pPr>
        <w:pStyle w:val="104"/>
        <w:spacing w:before="312" w:after="0" w:afterLines="0"/>
      </w:pPr>
      <w:bookmarkStart w:id="94" w:name="_Toc654811587"/>
      <w:r>
        <w:t>报告</w:t>
      </w:r>
      <w:r>
        <w:rPr>
          <w:rFonts w:hint="eastAsia"/>
        </w:rPr>
        <w:t>框架</w:t>
      </w:r>
      <w:r>
        <w:t>及要求</w:t>
      </w:r>
      <w:bookmarkEnd w:id="94"/>
    </w:p>
    <w:p w14:paraId="05092132">
      <w:pPr>
        <w:pStyle w:val="105"/>
        <w:spacing w:before="156" w:after="0" w:afterLines="0"/>
      </w:pPr>
      <w:bookmarkStart w:id="95" w:name="_Toc2063541649"/>
      <w:r>
        <w:rPr>
          <w:rFonts w:hint="eastAsia"/>
        </w:rPr>
        <w:t>绿色诊断报告组成框架</w:t>
      </w:r>
      <w:bookmarkEnd w:id="95"/>
    </w:p>
    <w:p w14:paraId="4A4B34A2">
      <w:pPr>
        <w:pStyle w:val="165"/>
        <w:numPr>
          <w:ilvl w:val="3"/>
          <w:numId w:val="0"/>
        </w:numPr>
        <w:ind w:firstLine="420" w:firstLineChars="200"/>
      </w:pPr>
      <w:r>
        <w:rPr>
          <w:rFonts w:hint="eastAsia"/>
        </w:rPr>
        <w:t>绿色诊断报告框架由以下几部分组成：</w:t>
      </w:r>
    </w:p>
    <w:p w14:paraId="422F10E7">
      <w:pPr>
        <w:pStyle w:val="56"/>
        <w:ind w:firstLine="420"/>
      </w:pPr>
      <w:r>
        <w:rPr>
          <w:rFonts w:hint="eastAsia"/>
        </w:rPr>
        <w:t>a)封面：注明接受绿色诊断企业名称、报告编制单位名称及完成时间；</w:t>
      </w:r>
    </w:p>
    <w:p w14:paraId="22A856E5">
      <w:pPr>
        <w:pStyle w:val="56"/>
        <w:ind w:firstLine="420"/>
      </w:pPr>
      <w:r>
        <w:rPr>
          <w:rFonts w:hint="eastAsia"/>
        </w:rPr>
        <w:t>b)基本信息表：填写被诊断企业、提供绿色诊断服务的第三方机构基本信息；</w:t>
      </w:r>
    </w:p>
    <w:p w14:paraId="2F1A5507">
      <w:pPr>
        <w:pStyle w:val="56"/>
        <w:ind w:firstLine="420"/>
      </w:pPr>
      <w:r>
        <w:rPr>
          <w:rFonts w:hint="eastAsia"/>
        </w:rPr>
        <w:t>c)确认单：被诊断企业和提供绿色诊断服务的第三方机构对报告内容、数据真实性及绿色诊断结果和用途进行确认；</w:t>
      </w:r>
    </w:p>
    <w:p w14:paraId="203CAC1C">
      <w:pPr>
        <w:pStyle w:val="56"/>
        <w:ind w:firstLine="420"/>
      </w:pPr>
      <w:r>
        <w:rPr>
          <w:rFonts w:hint="eastAsia"/>
        </w:rPr>
        <w:t>d)绿色诊断工作组成员名单：填写绿色诊断工作组成员信息，包括第三方机构和被诊断企业人员；</w:t>
      </w:r>
    </w:p>
    <w:p w14:paraId="52A37B59">
      <w:pPr>
        <w:pStyle w:val="56"/>
        <w:ind w:firstLine="420"/>
      </w:pPr>
      <w:r>
        <w:rPr>
          <w:rFonts w:hint="eastAsia"/>
        </w:rPr>
        <w:t>e)目录：完整报告内容的结构索引信息；</w:t>
      </w:r>
    </w:p>
    <w:p w14:paraId="64BFE29E">
      <w:pPr>
        <w:pStyle w:val="56"/>
        <w:ind w:firstLine="420"/>
      </w:pPr>
      <w:r>
        <w:rPr>
          <w:rFonts w:hint="eastAsia"/>
        </w:rPr>
        <w:t>f)报告摘要：报告正文内容信息的浓缩介绍；</w:t>
      </w:r>
    </w:p>
    <w:p w14:paraId="3065A6B5">
      <w:pPr>
        <w:pStyle w:val="56"/>
        <w:ind w:firstLine="420"/>
      </w:pPr>
      <w:r>
        <w:rPr>
          <w:rFonts w:hint="eastAsia"/>
        </w:rPr>
        <w:t>g)报告正文：全面完整反映本次诊断过程开展情况及主要发现和对策建议。</w:t>
      </w:r>
    </w:p>
    <w:p w14:paraId="46B94964">
      <w:pPr>
        <w:pStyle w:val="105"/>
        <w:spacing w:before="156" w:after="0" w:afterLines="0"/>
        <w:rPr>
          <w:b/>
          <w:bCs/>
        </w:rPr>
      </w:pPr>
      <w:bookmarkStart w:id="96" w:name="_Toc1581626837"/>
      <w:r>
        <w:rPr>
          <w:rFonts w:hint="eastAsia"/>
          <w:b/>
          <w:bCs/>
        </w:rPr>
        <w:t>绿色</w:t>
      </w:r>
      <w:r>
        <w:rPr>
          <w:rFonts w:hint="eastAsia"/>
        </w:rPr>
        <w:t>诊断</w:t>
      </w:r>
      <w:r>
        <w:rPr>
          <w:rFonts w:hint="eastAsia"/>
          <w:b/>
          <w:bCs/>
        </w:rPr>
        <w:t>报告正文</w:t>
      </w:r>
      <w:bookmarkEnd w:id="96"/>
    </w:p>
    <w:p w14:paraId="4D4160C9">
      <w:pPr>
        <w:spacing w:line="240" w:lineRule="auto"/>
        <w:rPr>
          <w:rFonts w:ascii="宋体" w:hAnsi="Times New Roman"/>
        </w:rPr>
      </w:pPr>
      <w:r>
        <w:rPr>
          <w:rFonts w:hint="eastAsia"/>
        </w:rPr>
        <w:t>绿色诊断报告正文应包括概述、绿色诊断过程和方法、绿色诊断内容、绿色诊断结论、建议、参考文件、附件，各部分主要内容可参考附录B。</w:t>
      </w:r>
      <w:r>
        <w:rPr>
          <w:rFonts w:hint="eastAsia" w:ascii="宋体" w:hAnsi="Times New Roman"/>
        </w:rPr>
        <w:br w:type="page"/>
      </w:r>
    </w:p>
    <w:p w14:paraId="602AE898">
      <w:pPr>
        <w:pStyle w:val="76"/>
        <w:spacing w:before="0" w:after="0" w:afterLines="0"/>
      </w:pPr>
      <w:bookmarkStart w:id="97" w:name="_Toc1218622304"/>
      <w:r>
        <w:br w:type="textWrapping"/>
      </w:r>
      <w:bookmarkStart w:id="98" w:name="_Toc119400669"/>
      <w:bookmarkStart w:id="99" w:name="_Toc201588678"/>
      <w:r>
        <w:rPr>
          <w:rFonts w:hint="eastAsia"/>
        </w:rPr>
        <w:t>（资料性）</w:t>
      </w:r>
      <w:r>
        <w:br w:type="textWrapping"/>
      </w:r>
      <w:bookmarkEnd w:id="98"/>
      <w:r>
        <w:rPr>
          <w:rFonts w:hint="eastAsia"/>
        </w:rPr>
        <w:t>企业绿色发展情况汇总表</w:t>
      </w:r>
      <w:bookmarkEnd w:id="97"/>
      <w:bookmarkEnd w:id="99"/>
    </w:p>
    <w:p w14:paraId="6929E66F">
      <w:pPr>
        <w:pStyle w:val="56"/>
        <w:ind w:firstLine="420"/>
      </w:pPr>
      <w:r>
        <w:rPr>
          <w:rFonts w:hint="eastAsia"/>
        </w:rPr>
        <w:t>企业绿色发展情况信息汇总见表1。</w:t>
      </w:r>
    </w:p>
    <w:p w14:paraId="077A1AA7">
      <w:pPr>
        <w:pStyle w:val="77"/>
        <w:numPr>
          <w:ilvl w:val="1"/>
          <w:numId w:val="0"/>
        </w:numPr>
        <w:spacing w:before="0" w:beforeLines="0" w:after="0" w:afterLines="0"/>
        <w:rPr>
          <w:lang w:bidi="ar"/>
        </w:rPr>
      </w:pPr>
      <w:r>
        <w:rPr>
          <w:rFonts w:hint="eastAsia"/>
          <w:lang w:bidi="ar"/>
        </w:rPr>
        <w:t>表1 企业绿色发展情况汇总表</w:t>
      </w:r>
    </w:p>
    <w:tbl>
      <w:tblPr>
        <w:tblStyle w:val="26"/>
        <w:tblW w:w="9548" w:type="dxa"/>
        <w:jc w:val="center"/>
        <w:tblLayout w:type="autofit"/>
        <w:tblCellMar>
          <w:top w:w="0" w:type="dxa"/>
          <w:left w:w="0" w:type="dxa"/>
          <w:bottom w:w="0" w:type="dxa"/>
          <w:right w:w="0" w:type="dxa"/>
        </w:tblCellMar>
      </w:tblPr>
      <w:tblGrid>
        <w:gridCol w:w="813"/>
        <w:gridCol w:w="1201"/>
        <w:gridCol w:w="1915"/>
        <w:gridCol w:w="1926"/>
        <w:gridCol w:w="1398"/>
        <w:gridCol w:w="1398"/>
        <w:gridCol w:w="897"/>
      </w:tblGrid>
      <w:tr w14:paraId="3CEF2516">
        <w:tblPrEx>
          <w:tblCellMar>
            <w:top w:w="0" w:type="dxa"/>
            <w:left w:w="0" w:type="dxa"/>
            <w:bottom w:w="0" w:type="dxa"/>
            <w:right w:w="0" w:type="dxa"/>
          </w:tblCellMar>
        </w:tblPrEx>
        <w:trPr>
          <w:trHeight w:val="458" w:hRule="atLeast"/>
          <w:tblHeader/>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D227A">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序号</w:t>
            </w: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089CB">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指标</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32B1C">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单位</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9761C">
            <w:pPr>
              <w:widowControl/>
              <w:snapToGrid w:val="0"/>
              <w:spacing w:line="240" w:lineRule="auto"/>
              <w:jc w:val="center"/>
              <w:textAlignment w:val="center"/>
              <w:rPr>
                <w:rFonts w:ascii="黑体" w:hAnsi="黑体" w:eastAsia="黑体" w:cs="黑体"/>
                <w:b/>
                <w:color w:val="000000"/>
                <w:spacing w:val="-6"/>
                <w:kern w:val="0"/>
                <w:lang w:bidi="ar"/>
              </w:rPr>
            </w:pPr>
            <w:r>
              <w:rPr>
                <w:rFonts w:hint="eastAsia" w:ascii="黑体" w:hAnsi="黑体" w:eastAsia="黑体" w:cs="黑体"/>
                <w:b/>
                <w:color w:val="000000"/>
                <w:spacing w:val="-6"/>
                <w:kern w:val="0"/>
                <w:lang w:bidi="ar"/>
              </w:rPr>
              <w:t>20  年</w:t>
            </w:r>
          </w:p>
          <w:p w14:paraId="2184FF12">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（年份1）</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A196E">
            <w:pPr>
              <w:widowControl/>
              <w:snapToGrid w:val="0"/>
              <w:spacing w:line="240" w:lineRule="auto"/>
              <w:jc w:val="center"/>
              <w:textAlignment w:val="center"/>
              <w:rPr>
                <w:rFonts w:ascii="黑体" w:hAnsi="黑体" w:eastAsia="黑体" w:cs="黑体"/>
                <w:b/>
                <w:color w:val="000000"/>
                <w:spacing w:val="-6"/>
                <w:kern w:val="0"/>
                <w:lang w:bidi="ar"/>
              </w:rPr>
            </w:pPr>
            <w:r>
              <w:rPr>
                <w:rFonts w:hint="eastAsia" w:ascii="黑体" w:hAnsi="黑体" w:eastAsia="黑体" w:cs="黑体"/>
                <w:b/>
                <w:color w:val="000000"/>
                <w:spacing w:val="-6"/>
                <w:kern w:val="0"/>
                <w:lang w:bidi="ar"/>
              </w:rPr>
              <w:t>20  年</w:t>
            </w:r>
          </w:p>
          <w:p w14:paraId="7DEE33CD">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（年份2）</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62B12">
            <w:pPr>
              <w:widowControl/>
              <w:snapToGrid w:val="0"/>
              <w:spacing w:line="240" w:lineRule="auto"/>
              <w:jc w:val="center"/>
              <w:textAlignment w:val="center"/>
              <w:rPr>
                <w:rFonts w:ascii="黑体" w:hAnsi="黑体" w:eastAsia="黑体" w:cs="黑体"/>
                <w:b/>
                <w:color w:val="000000"/>
                <w:spacing w:val="-6"/>
              </w:rPr>
            </w:pPr>
            <w:r>
              <w:rPr>
                <w:rFonts w:hint="eastAsia" w:ascii="黑体" w:hAnsi="黑体" w:eastAsia="黑体" w:cs="黑体"/>
                <w:b/>
                <w:color w:val="000000"/>
                <w:spacing w:val="-6"/>
                <w:kern w:val="0"/>
                <w:lang w:bidi="ar"/>
              </w:rPr>
              <w:t>备注</w:t>
            </w:r>
          </w:p>
        </w:tc>
      </w:tr>
      <w:tr w14:paraId="404CEDD3">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E84C6">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87A38">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年产值</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58B77">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万元</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414E5">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265AA">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307BE">
            <w:pPr>
              <w:widowControl/>
              <w:snapToGrid w:val="0"/>
              <w:spacing w:line="240" w:lineRule="auto"/>
              <w:jc w:val="center"/>
              <w:rPr>
                <w:rFonts w:ascii="宋体" w:hAnsi="宋体" w:cs="宋体"/>
                <w:color w:val="000000"/>
                <w:spacing w:val="-6"/>
                <w:sz w:val="18"/>
                <w:szCs w:val="18"/>
              </w:rPr>
            </w:pPr>
          </w:p>
        </w:tc>
      </w:tr>
      <w:tr w14:paraId="2043541B">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C7D69">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031B">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从业人员数</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7F41C">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人</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C8CB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F51AC">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D23CE">
            <w:pPr>
              <w:widowControl/>
              <w:snapToGrid w:val="0"/>
              <w:spacing w:line="240" w:lineRule="auto"/>
              <w:jc w:val="center"/>
              <w:rPr>
                <w:rFonts w:ascii="宋体" w:hAnsi="宋体" w:cs="宋体"/>
                <w:color w:val="000000"/>
                <w:spacing w:val="-6"/>
                <w:sz w:val="18"/>
                <w:szCs w:val="18"/>
              </w:rPr>
            </w:pPr>
          </w:p>
        </w:tc>
      </w:tr>
      <w:tr w14:paraId="73E625E4">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E411C">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4BCF2">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年综合能耗</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1475D">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吨标准煤</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B7E26">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33699">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2474E">
            <w:pPr>
              <w:widowControl/>
              <w:snapToGrid w:val="0"/>
              <w:spacing w:line="240" w:lineRule="auto"/>
              <w:jc w:val="center"/>
              <w:rPr>
                <w:rFonts w:ascii="宋体" w:hAnsi="宋体" w:cs="宋体"/>
                <w:color w:val="000000"/>
                <w:spacing w:val="-6"/>
                <w:sz w:val="18"/>
                <w:szCs w:val="18"/>
              </w:rPr>
            </w:pPr>
          </w:p>
        </w:tc>
      </w:tr>
      <w:tr w14:paraId="68793EAA">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8A29F">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3A547">
            <w:pPr>
              <w:widowControl/>
              <w:snapToGrid w:val="0"/>
              <w:spacing w:line="240" w:lineRule="auto"/>
              <w:jc w:val="center"/>
              <w:textAlignment w:val="center"/>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其中：煤炭用量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83D68">
            <w:pPr>
              <w:widowControl/>
              <w:snapToGrid w:val="0"/>
              <w:spacing w:line="240" w:lineRule="auto"/>
              <w:jc w:val="center"/>
              <w:textAlignment w:val="center"/>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8837D">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94D5E">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9EBD5">
            <w:pPr>
              <w:widowControl/>
              <w:snapToGrid w:val="0"/>
              <w:spacing w:line="240" w:lineRule="auto"/>
              <w:jc w:val="center"/>
              <w:rPr>
                <w:rFonts w:ascii="宋体" w:hAnsi="宋体" w:cs="宋体"/>
                <w:color w:val="000000"/>
                <w:spacing w:val="-6"/>
                <w:sz w:val="18"/>
                <w:szCs w:val="18"/>
              </w:rPr>
            </w:pPr>
          </w:p>
        </w:tc>
      </w:tr>
      <w:tr w14:paraId="65F7300E">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5FC5E">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F583E">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其中：用电量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94846">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万千瓦时</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661C0">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0BEB2">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7220">
            <w:pPr>
              <w:widowControl/>
              <w:snapToGrid w:val="0"/>
              <w:spacing w:line="240" w:lineRule="auto"/>
              <w:jc w:val="center"/>
              <w:rPr>
                <w:rFonts w:ascii="宋体" w:hAnsi="宋体" w:cs="宋体"/>
                <w:color w:val="000000"/>
                <w:spacing w:val="-6"/>
                <w:sz w:val="18"/>
                <w:szCs w:val="18"/>
              </w:rPr>
            </w:pPr>
          </w:p>
        </w:tc>
      </w:tr>
      <w:tr w14:paraId="4B1D00B8">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B81A5">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97AC0">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其中：天然气用量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6C921">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万标准立方米</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EC55D">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5A79">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9BE0E">
            <w:pPr>
              <w:widowControl/>
              <w:snapToGrid w:val="0"/>
              <w:spacing w:line="240" w:lineRule="auto"/>
              <w:jc w:val="center"/>
              <w:rPr>
                <w:rFonts w:ascii="宋体" w:hAnsi="宋体" w:cs="宋体"/>
                <w:color w:val="000000"/>
                <w:spacing w:val="-6"/>
                <w:sz w:val="18"/>
                <w:szCs w:val="18"/>
              </w:rPr>
            </w:pPr>
          </w:p>
        </w:tc>
      </w:tr>
      <w:tr w14:paraId="379113BC">
        <w:tblPrEx>
          <w:tblCellMar>
            <w:top w:w="0" w:type="dxa"/>
            <w:left w:w="0" w:type="dxa"/>
            <w:bottom w:w="0" w:type="dxa"/>
            <w:right w:w="0" w:type="dxa"/>
          </w:tblCellMar>
        </w:tblPrEx>
        <w:trPr>
          <w:trHeight w:val="458" w:hRule="atLeast"/>
          <w:jc w:val="center"/>
        </w:trPr>
        <w:tc>
          <w:tcPr>
            <w:tcW w:w="8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B16052">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12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C8FC95">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其中：</w:t>
            </w:r>
          </w:p>
          <w:p w14:paraId="0E8ED552">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可再生能源使用量</w:t>
            </w:r>
          </w:p>
        </w:tc>
        <w:tc>
          <w:tcPr>
            <w:tcW w:w="1914" w:type="dxa"/>
            <w:tcBorders>
              <w:top w:val="single" w:color="000000" w:sz="4" w:space="0"/>
              <w:left w:val="single" w:color="000000" w:sz="4" w:space="0"/>
              <w:bottom w:val="single" w:color="000000" w:sz="4" w:space="0"/>
              <w:right w:val="single" w:color="000000" w:sz="4" w:space="0"/>
            </w:tcBorders>
            <w:vAlign w:val="center"/>
          </w:tcPr>
          <w:p w14:paraId="189A6190">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太阳能光伏发电</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DA2AF">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万千瓦时</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6F774">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FFBEC">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08452">
            <w:pPr>
              <w:widowControl/>
              <w:snapToGrid w:val="0"/>
              <w:spacing w:line="240" w:lineRule="auto"/>
              <w:jc w:val="center"/>
              <w:rPr>
                <w:rFonts w:ascii="宋体" w:hAnsi="宋体" w:cs="宋体"/>
                <w:color w:val="000000"/>
                <w:spacing w:val="-6"/>
                <w:sz w:val="18"/>
                <w:szCs w:val="18"/>
              </w:rPr>
            </w:pPr>
          </w:p>
        </w:tc>
      </w:tr>
      <w:tr w14:paraId="0F54CB32">
        <w:tblPrEx>
          <w:tblCellMar>
            <w:top w:w="0" w:type="dxa"/>
            <w:left w:w="0" w:type="dxa"/>
            <w:bottom w:w="0" w:type="dxa"/>
            <w:right w:w="0" w:type="dxa"/>
          </w:tblCellMar>
        </w:tblPrEx>
        <w:trPr>
          <w:trHeight w:val="458" w:hRule="atLeast"/>
          <w:jc w:val="center"/>
        </w:trPr>
        <w:tc>
          <w:tcPr>
            <w:tcW w:w="814"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14:paraId="53AED3E2">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1201"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14:paraId="750374F7">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p>
        </w:tc>
        <w:tc>
          <w:tcPr>
            <w:tcW w:w="1914" w:type="dxa"/>
            <w:tcBorders>
              <w:top w:val="single" w:color="000000" w:sz="4" w:space="0"/>
              <w:left w:val="single" w:color="000000" w:sz="4" w:space="0"/>
              <w:bottom w:val="single" w:color="000000" w:sz="4" w:space="0"/>
              <w:right w:val="single" w:color="000000" w:sz="4" w:space="0"/>
            </w:tcBorders>
            <w:vAlign w:val="center"/>
          </w:tcPr>
          <w:p w14:paraId="20AB2F34">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太阳能光热利用</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EA0F3">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百万千焦</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179EC">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F1EF1">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2AC9D">
            <w:pPr>
              <w:widowControl/>
              <w:snapToGrid w:val="0"/>
              <w:spacing w:line="240" w:lineRule="auto"/>
              <w:jc w:val="center"/>
              <w:rPr>
                <w:rFonts w:ascii="宋体" w:hAnsi="宋体" w:cs="宋体"/>
                <w:color w:val="000000"/>
                <w:spacing w:val="-6"/>
                <w:sz w:val="18"/>
                <w:szCs w:val="18"/>
              </w:rPr>
            </w:pPr>
          </w:p>
        </w:tc>
      </w:tr>
      <w:tr w14:paraId="57E26BD1">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3ED91">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DBA8E">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可再生能源利用比例</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A9C1F">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4367E">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B4289">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4558A">
            <w:pPr>
              <w:widowControl/>
              <w:snapToGrid w:val="0"/>
              <w:spacing w:line="240" w:lineRule="auto"/>
              <w:jc w:val="center"/>
              <w:rPr>
                <w:rFonts w:ascii="宋体" w:hAnsi="宋体" w:cs="宋体"/>
                <w:color w:val="000000"/>
                <w:spacing w:val="-6"/>
                <w:sz w:val="18"/>
                <w:szCs w:val="18"/>
              </w:rPr>
            </w:pPr>
          </w:p>
        </w:tc>
      </w:tr>
      <w:tr w14:paraId="6FBB4BE8">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F2537">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3853A">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余热余压回收利用量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AB82C">
            <w:pPr>
              <w:widowControl/>
              <w:snapToGrid w:val="0"/>
              <w:spacing w:line="240" w:lineRule="auto"/>
              <w:jc w:val="center"/>
              <w:textAlignment w:val="center"/>
              <w:rPr>
                <w:rFonts w:ascii="宋体" w:hAnsi="宋体" w:cs="宋体"/>
                <w:color w:val="000000" w:themeColor="text1"/>
                <w:spacing w:val="-6"/>
                <w:kern w:val="0"/>
                <w:sz w:val="18"/>
                <w:szCs w:val="18"/>
                <w:lang w:bidi="ar"/>
                <w14:textFill>
                  <w14:solidFill>
                    <w14:schemeClr w14:val="tx1"/>
                  </w14:solidFill>
                </w14:textFill>
              </w:rPr>
            </w:pPr>
            <w:r>
              <w:rPr>
                <w:rFonts w:hint="eastAsia" w:ascii="宋体" w:hAnsi="宋体" w:cs="宋体"/>
                <w:color w:val="000000" w:themeColor="text1"/>
                <w:spacing w:val="-6"/>
                <w:kern w:val="0"/>
                <w:sz w:val="18"/>
                <w:szCs w:val="18"/>
                <w:lang w:bidi="ar"/>
                <w14:textFill>
                  <w14:solidFill>
                    <w14:schemeClr w14:val="tx1"/>
                  </w14:solidFill>
                </w14:textFill>
              </w:rPr>
              <w:t>吨标准煤</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2901">
            <w:pPr>
              <w:widowControl/>
              <w:snapToGrid w:val="0"/>
              <w:spacing w:line="240" w:lineRule="auto"/>
              <w:jc w:val="center"/>
              <w:rPr>
                <w:rFonts w:ascii="宋体" w:hAnsi="宋体" w:cs="宋体"/>
                <w:color w:val="000000" w:themeColor="text1"/>
                <w:spacing w:val="-6"/>
                <w:sz w:val="18"/>
                <w:szCs w:val="18"/>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9EDF8">
            <w:pPr>
              <w:widowControl/>
              <w:snapToGrid w:val="0"/>
              <w:spacing w:line="240" w:lineRule="auto"/>
              <w:jc w:val="center"/>
              <w:rPr>
                <w:rFonts w:ascii="宋体" w:hAnsi="宋体" w:cs="宋体"/>
                <w:color w:val="000000" w:themeColor="text1"/>
                <w:spacing w:val="-6"/>
                <w:sz w:val="18"/>
                <w:szCs w:val="18"/>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1E6E">
            <w:pPr>
              <w:widowControl/>
              <w:snapToGrid w:val="0"/>
              <w:spacing w:line="240" w:lineRule="auto"/>
              <w:jc w:val="center"/>
              <w:rPr>
                <w:rFonts w:ascii="宋体" w:hAnsi="宋体" w:cs="宋体"/>
                <w:color w:val="000000" w:themeColor="text1"/>
                <w:spacing w:val="-6"/>
                <w:sz w:val="18"/>
                <w:szCs w:val="18"/>
                <w14:textFill>
                  <w14:solidFill>
                    <w14:schemeClr w14:val="tx1"/>
                  </w14:solidFill>
                </w14:textFill>
              </w:rPr>
            </w:pPr>
          </w:p>
        </w:tc>
      </w:tr>
      <w:tr w14:paraId="569B2D46">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BFD7C">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88825">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年温室气体排放量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B9DED">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吨二氧化碳</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66690">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97781">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A7DDC">
            <w:pPr>
              <w:widowControl/>
              <w:snapToGrid w:val="0"/>
              <w:spacing w:line="240" w:lineRule="auto"/>
              <w:jc w:val="center"/>
              <w:rPr>
                <w:rFonts w:ascii="宋体" w:hAnsi="宋体" w:cs="宋体"/>
                <w:color w:val="000000"/>
                <w:spacing w:val="-6"/>
                <w:sz w:val="18"/>
                <w:szCs w:val="18"/>
              </w:rPr>
            </w:pPr>
          </w:p>
        </w:tc>
      </w:tr>
      <w:tr w14:paraId="3148963F">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4B3CB">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232AA">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单位产品综合能耗</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E54EA">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吨标准煤/吨（辆、台等）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C4E7B">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B8460">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2197D">
            <w:pPr>
              <w:widowControl/>
              <w:snapToGrid w:val="0"/>
              <w:spacing w:line="240" w:lineRule="auto"/>
              <w:jc w:val="center"/>
              <w:rPr>
                <w:rFonts w:ascii="宋体" w:hAnsi="宋体" w:cs="宋体"/>
                <w:color w:val="000000"/>
                <w:spacing w:val="-6"/>
                <w:sz w:val="18"/>
                <w:szCs w:val="18"/>
              </w:rPr>
            </w:pPr>
          </w:p>
        </w:tc>
      </w:tr>
      <w:tr w14:paraId="59A94448">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8AD74">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30850">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单位产值综合能耗</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2E8B5">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吨标准煤/万元</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66D81">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3AA2E">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48905">
            <w:pPr>
              <w:widowControl/>
              <w:snapToGrid w:val="0"/>
              <w:spacing w:line="240" w:lineRule="auto"/>
              <w:jc w:val="center"/>
              <w:rPr>
                <w:rFonts w:ascii="宋体" w:hAnsi="宋体" w:cs="宋体"/>
                <w:color w:val="000000"/>
                <w:spacing w:val="-6"/>
                <w:sz w:val="18"/>
                <w:szCs w:val="18"/>
              </w:rPr>
            </w:pPr>
          </w:p>
        </w:tc>
      </w:tr>
      <w:tr w14:paraId="7F7D0440">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D523A">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84D45">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单位产品碳排放量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90D82">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吨CO</w:t>
            </w:r>
            <w:r>
              <w:rPr>
                <w:rFonts w:hint="eastAsia" w:ascii="宋体" w:hAnsi="宋体" w:cs="宋体"/>
                <w:color w:val="000000"/>
                <w:spacing w:val="-6"/>
                <w:kern w:val="0"/>
                <w:sz w:val="18"/>
                <w:szCs w:val="18"/>
                <w:vertAlign w:val="subscript"/>
                <w:lang w:bidi="ar"/>
              </w:rPr>
              <w:t>2</w:t>
            </w:r>
            <w:r>
              <w:rPr>
                <w:rFonts w:hint="eastAsia" w:ascii="宋体" w:hAnsi="宋体" w:cs="宋体"/>
                <w:color w:val="000000"/>
                <w:spacing w:val="-6"/>
                <w:kern w:val="0"/>
                <w:sz w:val="18"/>
                <w:szCs w:val="18"/>
                <w:lang w:bidi="ar"/>
              </w:rPr>
              <w:t>/吨（辆、台等）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80BF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FF778">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59048">
            <w:pPr>
              <w:widowControl/>
              <w:snapToGrid w:val="0"/>
              <w:spacing w:line="240" w:lineRule="auto"/>
              <w:jc w:val="center"/>
              <w:rPr>
                <w:rFonts w:ascii="宋体" w:hAnsi="宋体" w:cs="宋体"/>
                <w:color w:val="000000"/>
                <w:spacing w:val="-6"/>
                <w:sz w:val="18"/>
                <w:szCs w:val="18"/>
              </w:rPr>
            </w:pPr>
          </w:p>
        </w:tc>
      </w:tr>
      <w:tr w14:paraId="244F70C9">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9133E">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42570">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单位产值碳排放量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D1387">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吨CO</w:t>
            </w:r>
            <w:r>
              <w:rPr>
                <w:rFonts w:hint="eastAsia" w:ascii="宋体" w:hAnsi="宋体" w:cs="宋体"/>
                <w:color w:val="000000"/>
                <w:spacing w:val="-6"/>
                <w:kern w:val="0"/>
                <w:sz w:val="18"/>
                <w:szCs w:val="18"/>
                <w:vertAlign w:val="subscript"/>
                <w:lang w:bidi="ar"/>
              </w:rPr>
              <w:t>2</w:t>
            </w:r>
            <w:r>
              <w:rPr>
                <w:rFonts w:hint="eastAsia" w:ascii="宋体" w:hAnsi="宋体" w:cs="宋体"/>
                <w:color w:val="000000"/>
                <w:spacing w:val="-6"/>
                <w:kern w:val="0"/>
                <w:sz w:val="18"/>
                <w:szCs w:val="18"/>
                <w:lang w:bidi="ar"/>
              </w:rPr>
              <w:t>/万元</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2F3B6">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C8CE0">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5154F">
            <w:pPr>
              <w:widowControl/>
              <w:snapToGrid w:val="0"/>
              <w:spacing w:line="240" w:lineRule="auto"/>
              <w:jc w:val="center"/>
              <w:rPr>
                <w:rFonts w:ascii="宋体" w:hAnsi="宋体" w:cs="宋体"/>
                <w:color w:val="000000"/>
                <w:spacing w:val="-6"/>
                <w:sz w:val="18"/>
                <w:szCs w:val="18"/>
              </w:rPr>
            </w:pPr>
          </w:p>
        </w:tc>
      </w:tr>
      <w:tr w14:paraId="722420A8">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696E1">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6F0A3">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年用水量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A47DA">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立方米</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3373B">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AC5C0">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11F21">
            <w:pPr>
              <w:widowControl/>
              <w:snapToGrid w:val="0"/>
              <w:spacing w:line="240" w:lineRule="auto"/>
              <w:jc w:val="center"/>
              <w:rPr>
                <w:rFonts w:ascii="宋体" w:hAnsi="宋体" w:cs="宋体"/>
                <w:color w:val="000000"/>
                <w:spacing w:val="-6"/>
                <w:sz w:val="18"/>
                <w:szCs w:val="18"/>
              </w:rPr>
            </w:pPr>
          </w:p>
        </w:tc>
      </w:tr>
      <w:tr w14:paraId="48276EED">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5CDFB">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C0740">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其中：新水取用量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EFFD5">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立方米</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98990">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F2477">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6CA31">
            <w:pPr>
              <w:widowControl/>
              <w:snapToGrid w:val="0"/>
              <w:spacing w:line="240" w:lineRule="auto"/>
              <w:jc w:val="center"/>
              <w:rPr>
                <w:rFonts w:ascii="宋体" w:hAnsi="宋体" w:cs="宋体"/>
                <w:color w:val="000000"/>
                <w:spacing w:val="-6"/>
                <w:sz w:val="18"/>
                <w:szCs w:val="18"/>
              </w:rPr>
            </w:pPr>
          </w:p>
        </w:tc>
      </w:tr>
      <w:tr w14:paraId="2E28366E">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74B9F">
            <w:pPr>
              <w:widowControl/>
              <w:numPr>
                <w:ilvl w:val="0"/>
                <w:numId w:val="32"/>
              </w:numPr>
              <w:snapToGrid w:val="0"/>
              <w:spacing w:line="240" w:lineRule="auto"/>
              <w:jc w:val="center"/>
              <w:textAlignment w:val="center"/>
              <w:rPr>
                <w:rFonts w:ascii="宋体" w:hAnsi="宋体" w:cs="宋体"/>
                <w:color w:val="000000"/>
                <w:spacing w:val="-6"/>
                <w:kern w:val="0"/>
                <w:sz w:val="18"/>
                <w:szCs w:val="18"/>
                <w:lang w:bidi="ar"/>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CE9AD">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单位产品取水量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D86A9">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立方米/吨（辆、台等）</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E220">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6D293">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908ED">
            <w:pPr>
              <w:widowControl/>
              <w:snapToGrid w:val="0"/>
              <w:spacing w:line="240" w:lineRule="auto"/>
              <w:jc w:val="center"/>
              <w:rPr>
                <w:rFonts w:ascii="宋体" w:hAnsi="宋体" w:cs="宋体"/>
                <w:color w:val="000000"/>
                <w:spacing w:val="-6"/>
                <w:sz w:val="18"/>
                <w:szCs w:val="18"/>
              </w:rPr>
            </w:pPr>
          </w:p>
        </w:tc>
      </w:tr>
      <w:tr w14:paraId="73DD8D55">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CD4A1">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606F3">
            <w:pPr>
              <w:widowControl/>
              <w:snapToGrid w:val="0"/>
              <w:spacing w:line="240" w:lineRule="auto"/>
              <w:jc w:val="center"/>
              <w:textAlignment w:val="center"/>
              <w:rPr>
                <w:rFonts w:ascii="宋体" w:hAnsi="宋体" w:cs="宋体"/>
                <w:color w:val="000000"/>
                <w:spacing w:val="-6"/>
                <w:sz w:val="18"/>
                <w:szCs w:val="18"/>
              </w:rPr>
            </w:pPr>
            <w:bookmarkStart w:id="100" w:name="_Hlk208340313"/>
            <w:bookmarkStart w:id="101" w:name="OLE_LINK4"/>
            <w:r>
              <w:rPr>
                <w:rFonts w:hint="eastAsia" w:ascii="宋体" w:hAnsi="宋体" w:cs="宋体"/>
                <w:color w:val="000000"/>
                <w:spacing w:val="-6"/>
                <w:kern w:val="0"/>
                <w:sz w:val="18"/>
                <w:szCs w:val="18"/>
                <w:lang w:bidi="ar"/>
              </w:rPr>
              <w:t>工业用水重复利用率</w:t>
            </w:r>
            <w:bookmarkEnd w:id="100"/>
            <w:bookmarkEnd w:id="101"/>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53F50">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AD241">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0F1A4">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2D4E0">
            <w:pPr>
              <w:widowControl/>
              <w:snapToGrid w:val="0"/>
              <w:spacing w:line="240" w:lineRule="auto"/>
              <w:jc w:val="center"/>
              <w:rPr>
                <w:rFonts w:ascii="宋体" w:hAnsi="宋体" w:cs="宋体"/>
                <w:color w:val="000000"/>
                <w:spacing w:val="-6"/>
                <w:sz w:val="18"/>
                <w:szCs w:val="18"/>
              </w:rPr>
            </w:pPr>
          </w:p>
        </w:tc>
      </w:tr>
      <w:tr w14:paraId="01A6F11F">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3EEBE">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AA20E">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颗粒物排放量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79AF2">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0280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C9280">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CF8F1">
            <w:pPr>
              <w:widowControl/>
              <w:snapToGrid w:val="0"/>
              <w:spacing w:line="240" w:lineRule="auto"/>
              <w:jc w:val="center"/>
              <w:rPr>
                <w:rFonts w:ascii="宋体" w:hAnsi="宋体" w:cs="宋体"/>
                <w:color w:val="000000"/>
                <w:spacing w:val="-6"/>
                <w:sz w:val="18"/>
                <w:szCs w:val="18"/>
              </w:rPr>
            </w:pPr>
          </w:p>
        </w:tc>
      </w:tr>
      <w:tr w14:paraId="4F09CDDE">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CF53F">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95A90">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二氧化硫排放量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42241">
            <w:pPr>
              <w:widowControl/>
              <w:snapToGrid w:val="0"/>
              <w:spacing w:line="240" w:lineRule="auto"/>
              <w:jc w:val="center"/>
              <w:textAlignment w:val="center"/>
              <w:rPr>
                <w:rFonts w:ascii="宋体" w:hAnsi="宋体" w:cs="宋体"/>
                <w:color w:val="000000"/>
                <w:spacing w:val="-6"/>
                <w:kern w:val="0"/>
                <w:sz w:val="18"/>
                <w:szCs w:val="18"/>
                <w:lang w:bidi="ar"/>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2C63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B2B6E">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E1A0B">
            <w:pPr>
              <w:widowControl/>
              <w:snapToGrid w:val="0"/>
              <w:spacing w:line="240" w:lineRule="auto"/>
              <w:jc w:val="center"/>
              <w:rPr>
                <w:rFonts w:ascii="宋体" w:hAnsi="宋体" w:cs="宋体"/>
                <w:color w:val="000000"/>
                <w:spacing w:val="-6"/>
                <w:sz w:val="18"/>
                <w:szCs w:val="18"/>
              </w:rPr>
            </w:pPr>
          </w:p>
        </w:tc>
      </w:tr>
      <w:tr w14:paraId="2DA00F26">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BAE7E">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1F763">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氮氧化物排放量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C3BBF">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D03BA">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4BB48">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18249">
            <w:pPr>
              <w:widowControl/>
              <w:snapToGrid w:val="0"/>
              <w:spacing w:line="240" w:lineRule="auto"/>
              <w:jc w:val="center"/>
              <w:rPr>
                <w:rFonts w:ascii="宋体" w:hAnsi="宋体" w:cs="宋体"/>
                <w:color w:val="000000"/>
                <w:spacing w:val="-6"/>
                <w:sz w:val="18"/>
                <w:szCs w:val="18"/>
              </w:rPr>
            </w:pPr>
          </w:p>
        </w:tc>
      </w:tr>
      <w:tr w14:paraId="2492D577">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1FC78">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F755D">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挥发性有机物排放量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64EAD">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4E6D0">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79A99">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2A723">
            <w:pPr>
              <w:widowControl/>
              <w:snapToGrid w:val="0"/>
              <w:spacing w:line="240" w:lineRule="auto"/>
              <w:jc w:val="center"/>
              <w:rPr>
                <w:rFonts w:ascii="宋体" w:hAnsi="宋体" w:cs="宋体"/>
                <w:color w:val="000000"/>
                <w:spacing w:val="-6"/>
                <w:sz w:val="18"/>
                <w:szCs w:val="18"/>
              </w:rPr>
            </w:pPr>
          </w:p>
        </w:tc>
      </w:tr>
      <w:tr w14:paraId="331EFAFC">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3F180">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488FB">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氨氮排放量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7B19D">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千克</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5C939">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56CD8">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D6BD7">
            <w:pPr>
              <w:widowControl/>
              <w:snapToGrid w:val="0"/>
              <w:spacing w:line="240" w:lineRule="auto"/>
              <w:jc w:val="center"/>
              <w:rPr>
                <w:rFonts w:ascii="宋体" w:hAnsi="宋体" w:cs="宋体"/>
                <w:color w:val="000000"/>
                <w:spacing w:val="-6"/>
                <w:sz w:val="18"/>
                <w:szCs w:val="18"/>
              </w:rPr>
            </w:pPr>
          </w:p>
        </w:tc>
      </w:tr>
      <w:tr w14:paraId="1D0922F5">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F7442">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BD23C">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化学需氧量排放量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CFB80">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千克</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91DB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5C283">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3C493">
            <w:pPr>
              <w:widowControl/>
              <w:snapToGrid w:val="0"/>
              <w:spacing w:line="240" w:lineRule="auto"/>
              <w:jc w:val="center"/>
              <w:rPr>
                <w:rFonts w:ascii="宋体" w:hAnsi="宋体" w:cs="宋体"/>
                <w:color w:val="000000"/>
                <w:spacing w:val="-6"/>
                <w:sz w:val="18"/>
                <w:szCs w:val="18"/>
              </w:rPr>
            </w:pPr>
          </w:p>
        </w:tc>
      </w:tr>
      <w:tr w14:paraId="32F5D8AC">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EC588">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B28C">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其他大气污染物排放量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A6AEB">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4A3D8">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E7394">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4D401">
            <w:pPr>
              <w:widowControl/>
              <w:snapToGrid w:val="0"/>
              <w:spacing w:line="240" w:lineRule="auto"/>
              <w:jc w:val="center"/>
              <w:rPr>
                <w:rFonts w:ascii="宋体" w:hAnsi="宋体" w:cs="宋体"/>
                <w:color w:val="000000"/>
                <w:spacing w:val="-6"/>
                <w:sz w:val="18"/>
                <w:szCs w:val="18"/>
              </w:rPr>
            </w:pPr>
          </w:p>
        </w:tc>
      </w:tr>
      <w:tr w14:paraId="6363F147">
        <w:tblPrEx>
          <w:tblCellMar>
            <w:top w:w="0" w:type="dxa"/>
            <w:left w:w="0" w:type="dxa"/>
            <w:bottom w:w="0" w:type="dxa"/>
            <w:right w:w="0" w:type="dxa"/>
          </w:tblCellMar>
        </w:tblPrEx>
        <w:trPr>
          <w:trHeight w:val="458" w:hRule="atLeast"/>
          <w:jc w:val="center"/>
        </w:trPr>
        <w:tc>
          <w:tcPr>
            <w:tcW w:w="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5FBB4">
            <w:pPr>
              <w:widowControl/>
              <w:numPr>
                <w:ilvl w:val="0"/>
                <w:numId w:val="32"/>
              </w:numPr>
              <w:snapToGrid w:val="0"/>
              <w:spacing w:line="240" w:lineRule="auto"/>
              <w:jc w:val="center"/>
              <w:textAlignment w:val="center"/>
              <w:rPr>
                <w:rFonts w:ascii="宋体" w:hAnsi="宋体" w:cs="宋体"/>
                <w:color w:val="000000"/>
                <w:spacing w:val="-6"/>
                <w:sz w:val="18"/>
                <w:szCs w:val="18"/>
              </w:rPr>
            </w:pPr>
          </w:p>
        </w:tc>
        <w:tc>
          <w:tcPr>
            <w:tcW w:w="3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5EB3A">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其他水污染物排放量</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DEACE">
            <w:pPr>
              <w:widowControl/>
              <w:snapToGrid w:val="0"/>
              <w:spacing w:line="240" w:lineRule="auto"/>
              <w:jc w:val="center"/>
              <w:textAlignment w:val="center"/>
              <w:rPr>
                <w:rFonts w:ascii="宋体" w:hAnsi="宋体" w:cs="宋体"/>
                <w:color w:val="000000"/>
                <w:spacing w:val="-6"/>
                <w:sz w:val="18"/>
                <w:szCs w:val="18"/>
              </w:rPr>
            </w:pPr>
            <w:r>
              <w:rPr>
                <w:rFonts w:hint="eastAsia" w:ascii="宋体" w:hAnsi="宋体" w:cs="宋体"/>
                <w:color w:val="000000"/>
                <w:spacing w:val="-6"/>
                <w:kern w:val="0"/>
                <w:sz w:val="18"/>
                <w:szCs w:val="18"/>
                <w:lang w:bidi="ar"/>
              </w:rPr>
              <w:t>吨</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5DFC4">
            <w:pPr>
              <w:widowControl/>
              <w:snapToGrid w:val="0"/>
              <w:spacing w:line="240" w:lineRule="auto"/>
              <w:jc w:val="center"/>
              <w:rPr>
                <w:rFonts w:ascii="宋体" w:hAnsi="宋体" w:cs="宋体"/>
                <w:color w:val="000000"/>
                <w:spacing w:val="-6"/>
                <w:sz w:val="18"/>
                <w:szCs w:val="18"/>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30A6">
            <w:pPr>
              <w:widowControl/>
              <w:snapToGrid w:val="0"/>
              <w:spacing w:line="240" w:lineRule="auto"/>
              <w:jc w:val="center"/>
              <w:rPr>
                <w:rFonts w:ascii="宋体" w:hAnsi="宋体" w:cs="宋体"/>
                <w:color w:val="000000"/>
                <w:spacing w:val="-6"/>
                <w:sz w:val="18"/>
                <w:szCs w:val="18"/>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55753">
            <w:pPr>
              <w:widowControl/>
              <w:snapToGrid w:val="0"/>
              <w:spacing w:line="240" w:lineRule="auto"/>
              <w:jc w:val="center"/>
              <w:rPr>
                <w:rFonts w:ascii="宋体" w:hAnsi="宋体" w:cs="宋体"/>
                <w:color w:val="000000"/>
                <w:spacing w:val="-6"/>
                <w:sz w:val="18"/>
                <w:szCs w:val="18"/>
              </w:rPr>
            </w:pPr>
          </w:p>
        </w:tc>
      </w:tr>
      <w:tr w14:paraId="13F0B460">
        <w:tblPrEx>
          <w:tblCellMar>
            <w:top w:w="0" w:type="dxa"/>
            <w:left w:w="0" w:type="dxa"/>
            <w:bottom w:w="0" w:type="dxa"/>
            <w:right w:w="0" w:type="dxa"/>
          </w:tblCellMar>
        </w:tblPrEx>
        <w:trPr>
          <w:trHeight w:val="458" w:hRule="atLeast"/>
          <w:jc w:val="center"/>
        </w:trPr>
        <w:tc>
          <w:tcPr>
            <w:tcW w:w="954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C20BD">
            <w:pPr>
              <w:widowControl/>
              <w:snapToGrid w:val="0"/>
              <w:spacing w:line="240" w:lineRule="auto"/>
              <w:jc w:val="left"/>
              <w:rPr>
                <w:rFonts w:ascii="宋体" w:hAnsi="宋体" w:cs="宋体"/>
                <w:color w:val="000000"/>
                <w:spacing w:val="-6"/>
                <w:sz w:val="18"/>
                <w:szCs w:val="18"/>
              </w:rPr>
            </w:pPr>
            <w:r>
              <w:rPr>
                <w:rFonts w:hint="eastAsia" w:ascii="宋体" w:hAnsi="宋体" w:cs="宋体"/>
                <w:color w:val="000000"/>
                <w:spacing w:val="-6"/>
                <w:sz w:val="18"/>
                <w:szCs w:val="18"/>
              </w:rPr>
              <w:t>注：年份1至、年份</w:t>
            </w:r>
            <w:r>
              <w:rPr>
                <w:rFonts w:ascii="宋体" w:hAnsi="宋体" w:cs="宋体"/>
                <w:color w:val="000000"/>
                <w:spacing w:val="-6"/>
                <w:sz w:val="18"/>
                <w:szCs w:val="18"/>
              </w:rPr>
              <w:t>2</w:t>
            </w:r>
            <w:r>
              <w:rPr>
                <w:rFonts w:hint="eastAsia" w:ascii="宋体" w:hAnsi="宋体" w:cs="宋体"/>
                <w:color w:val="000000"/>
                <w:spacing w:val="-6"/>
                <w:sz w:val="18"/>
                <w:szCs w:val="18"/>
              </w:rPr>
              <w:t>为绿色诊断实施年份的前两年。如2025年实施绿色诊断，年份1填写2023年，年份2填写2024年。如企业投入生产运营不足两年，按照实际情况填写。</w:t>
            </w:r>
          </w:p>
        </w:tc>
      </w:tr>
    </w:tbl>
    <w:p w14:paraId="144485D1">
      <w:pPr>
        <w:pStyle w:val="56"/>
        <w:ind w:firstLine="0" w:firstLineChars="0"/>
      </w:pPr>
    </w:p>
    <w:p w14:paraId="23CE6C95">
      <w:pPr>
        <w:pStyle w:val="56"/>
        <w:ind w:firstLine="0" w:firstLineChars="0"/>
        <w:jc w:val="center"/>
      </w:pPr>
      <w:r>
        <w:br w:type="page"/>
      </w:r>
    </w:p>
    <w:p w14:paraId="412858CF">
      <w:pPr>
        <w:pStyle w:val="76"/>
        <w:spacing w:before="0" w:after="0" w:afterLines="0"/>
      </w:pPr>
      <w:bookmarkStart w:id="102" w:name="_Toc381175460"/>
      <w:bookmarkEnd w:id="102"/>
    </w:p>
    <w:p w14:paraId="43E3DE62">
      <w:pPr>
        <w:pStyle w:val="76"/>
        <w:numPr>
          <w:ilvl w:val="0"/>
          <w:numId w:val="0"/>
        </w:numPr>
        <w:spacing w:before="0" w:after="0" w:afterLines="0"/>
      </w:pPr>
      <w:bookmarkStart w:id="103" w:name="_Toc1489581523"/>
      <w:r>
        <w:rPr>
          <w:rFonts w:hint="eastAsia"/>
        </w:rPr>
        <w:t>（资料性）</w:t>
      </w:r>
      <w:r>
        <w:rPr>
          <w:rFonts w:hint="eastAsia"/>
        </w:rPr>
        <w:br w:type="textWrapping"/>
      </w:r>
      <w:bookmarkEnd w:id="103"/>
      <w:r>
        <w:rPr>
          <w:rFonts w:hint="eastAsia"/>
        </w:rPr>
        <w:t>工业企业绿色诊断定期跟踪报告模板</w:t>
      </w:r>
    </w:p>
    <w:p w14:paraId="17D71FA2">
      <w:pPr>
        <w:pStyle w:val="56"/>
        <w:ind w:firstLine="0" w:firstLineChars="0"/>
        <w:jc w:val="center"/>
      </w:pPr>
    </w:p>
    <w:p w14:paraId="32E54F03">
      <w:pPr>
        <w:pStyle w:val="56"/>
        <w:ind w:firstLine="0" w:firstLineChars="0"/>
        <w:jc w:val="center"/>
      </w:pPr>
    </w:p>
    <w:p w14:paraId="2214F2AB">
      <w:pPr>
        <w:pStyle w:val="56"/>
        <w:ind w:firstLine="0" w:firstLineChars="0"/>
        <w:jc w:val="center"/>
      </w:pPr>
    </w:p>
    <w:p w14:paraId="18AE5607">
      <w:pPr>
        <w:pStyle w:val="56"/>
        <w:ind w:firstLine="0" w:firstLineChars="0"/>
        <w:jc w:val="center"/>
        <w:rPr>
          <w:rFonts w:ascii="国标黑体" w:hAnsi="国标黑体" w:eastAsia="国标黑体" w:cs="国标黑体"/>
          <w:sz w:val="40"/>
          <w:szCs w:val="36"/>
        </w:rPr>
      </w:pPr>
      <w:r>
        <w:rPr>
          <w:rFonts w:hint="eastAsia" w:ascii="国标黑体" w:hAnsi="国标黑体" w:eastAsia="国标黑体" w:cs="国标黑体"/>
          <w:sz w:val="40"/>
          <w:szCs w:val="36"/>
        </w:rPr>
        <w:t>工业企业绿色诊断定期跟踪报告</w:t>
      </w:r>
    </w:p>
    <w:p w14:paraId="7326FE17">
      <w:pPr>
        <w:pStyle w:val="56"/>
        <w:ind w:firstLine="0" w:firstLineChars="0"/>
        <w:jc w:val="center"/>
        <w:rPr>
          <w:rFonts w:ascii="国标黑体" w:hAnsi="国标黑体" w:eastAsia="国标黑体" w:cs="国标黑体"/>
          <w:sz w:val="40"/>
          <w:szCs w:val="36"/>
        </w:rPr>
      </w:pPr>
    </w:p>
    <w:p w14:paraId="39EEB75C">
      <w:pPr>
        <w:pStyle w:val="56"/>
        <w:ind w:firstLine="0" w:firstLineChars="0"/>
        <w:jc w:val="center"/>
        <w:rPr>
          <w:rFonts w:ascii="国标黑体" w:hAnsi="国标黑体" w:eastAsia="国标黑体" w:cs="国标黑体"/>
          <w:sz w:val="40"/>
          <w:szCs w:val="36"/>
        </w:rPr>
      </w:pPr>
    </w:p>
    <w:p w14:paraId="0F547E43">
      <w:pPr>
        <w:pStyle w:val="56"/>
        <w:ind w:firstLine="0" w:firstLineChars="0"/>
        <w:jc w:val="center"/>
        <w:rPr>
          <w:rFonts w:ascii="国标黑体" w:hAnsi="国标黑体" w:eastAsia="国标黑体" w:cs="国标黑体"/>
          <w:sz w:val="40"/>
          <w:szCs w:val="36"/>
        </w:rPr>
      </w:pPr>
    </w:p>
    <w:p w14:paraId="377C7EA5">
      <w:pPr>
        <w:pStyle w:val="56"/>
        <w:ind w:firstLine="0" w:firstLineChars="0"/>
        <w:jc w:val="center"/>
        <w:rPr>
          <w:rFonts w:ascii="国标黑体" w:hAnsi="国标黑体" w:eastAsia="国标黑体" w:cs="国标黑体"/>
          <w:sz w:val="40"/>
          <w:szCs w:val="36"/>
        </w:rPr>
      </w:pPr>
    </w:p>
    <w:p w14:paraId="3E136386">
      <w:pPr>
        <w:pStyle w:val="56"/>
        <w:ind w:firstLine="0" w:firstLineChars="0"/>
        <w:jc w:val="center"/>
        <w:rPr>
          <w:rFonts w:ascii="国标黑体" w:hAnsi="国标黑体" w:eastAsia="国标黑体" w:cs="国标黑体"/>
          <w:sz w:val="40"/>
          <w:szCs w:val="36"/>
        </w:rPr>
      </w:pPr>
    </w:p>
    <w:p w14:paraId="08DDCE85">
      <w:pPr>
        <w:pStyle w:val="56"/>
        <w:ind w:firstLine="0" w:firstLineChars="0"/>
        <w:jc w:val="center"/>
        <w:rPr>
          <w:rFonts w:ascii="国标黑体" w:hAnsi="国标黑体" w:eastAsia="国标黑体" w:cs="国标黑体"/>
          <w:sz w:val="40"/>
          <w:szCs w:val="36"/>
        </w:rPr>
      </w:pPr>
    </w:p>
    <w:p w14:paraId="404878B1">
      <w:pPr>
        <w:pStyle w:val="56"/>
        <w:ind w:firstLine="0" w:firstLineChars="0"/>
        <w:jc w:val="center"/>
        <w:rPr>
          <w:rFonts w:ascii="国标黑体" w:hAnsi="国标黑体" w:eastAsia="国标黑体" w:cs="国标黑体"/>
          <w:sz w:val="40"/>
          <w:szCs w:val="36"/>
        </w:rPr>
      </w:pPr>
    </w:p>
    <w:p w14:paraId="374AF6DE">
      <w:pPr>
        <w:pStyle w:val="56"/>
        <w:ind w:firstLine="0" w:firstLineChars="0"/>
        <w:rPr>
          <w:sz w:val="28"/>
          <w:szCs w:val="24"/>
        </w:rPr>
      </w:pPr>
      <w:r>
        <w:rPr>
          <w:b/>
          <w:bCs/>
          <w:sz w:val="28"/>
          <w:szCs w:val="24"/>
        </w:rPr>
        <w:t>企业名称：</w:t>
      </w:r>
      <w:r>
        <w:rPr>
          <w:sz w:val="28"/>
          <w:szCs w:val="24"/>
        </w:rPr>
        <w:t>[填写接受绿色诊断的工业企业全称]</w:t>
      </w:r>
    </w:p>
    <w:p w14:paraId="51ED70F3">
      <w:pPr>
        <w:pStyle w:val="56"/>
        <w:ind w:firstLine="0" w:firstLineChars="0"/>
        <w:rPr>
          <w:sz w:val="28"/>
          <w:szCs w:val="24"/>
        </w:rPr>
      </w:pPr>
      <w:r>
        <w:rPr>
          <w:b/>
          <w:bCs/>
          <w:sz w:val="28"/>
          <w:szCs w:val="24"/>
        </w:rPr>
        <w:t>诊断机构名称：</w:t>
      </w:r>
      <w:r>
        <w:rPr>
          <w:sz w:val="28"/>
          <w:szCs w:val="24"/>
        </w:rPr>
        <w:t>[填写开展绿色诊断的第三方机构全称]</w:t>
      </w:r>
    </w:p>
    <w:p w14:paraId="1D12ED00">
      <w:pPr>
        <w:pStyle w:val="56"/>
        <w:ind w:firstLine="0" w:firstLineChars="0"/>
        <w:rPr>
          <w:sz w:val="28"/>
          <w:szCs w:val="24"/>
        </w:rPr>
      </w:pPr>
      <w:r>
        <w:rPr>
          <w:b/>
          <w:bCs/>
          <w:sz w:val="28"/>
          <w:szCs w:val="24"/>
        </w:rPr>
        <w:t>首次跟踪报告编号：</w:t>
      </w:r>
      <w:r>
        <w:rPr>
          <w:sz w:val="28"/>
          <w:szCs w:val="24"/>
        </w:rPr>
        <w:t>[填写首次跟踪报告对应编号]</w:t>
      </w:r>
    </w:p>
    <w:p w14:paraId="7A1AE0DA">
      <w:pPr>
        <w:pStyle w:val="56"/>
        <w:ind w:firstLine="0" w:firstLineChars="0"/>
        <w:rPr>
          <w:sz w:val="28"/>
          <w:szCs w:val="24"/>
        </w:rPr>
      </w:pPr>
      <w:r>
        <w:rPr>
          <w:b/>
          <w:bCs/>
          <w:sz w:val="28"/>
          <w:szCs w:val="24"/>
        </w:rPr>
        <w:t>定期跟踪周期：</w:t>
      </w:r>
      <w:r>
        <w:rPr>
          <w:sz w:val="28"/>
          <w:szCs w:val="24"/>
        </w:rPr>
        <w:t>第[X]次定期跟踪（首次跟踪完成后第[X]个年度）</w:t>
      </w:r>
    </w:p>
    <w:p w14:paraId="743112D0">
      <w:pPr>
        <w:pStyle w:val="56"/>
        <w:ind w:firstLine="0" w:firstLineChars="0"/>
        <w:rPr>
          <w:sz w:val="28"/>
          <w:szCs w:val="24"/>
        </w:rPr>
      </w:pPr>
      <w:r>
        <w:rPr>
          <w:rFonts w:hint="eastAsia"/>
          <w:b/>
          <w:bCs/>
          <w:sz w:val="28"/>
          <w:szCs w:val="24"/>
        </w:rPr>
        <w:t>报告</w:t>
      </w:r>
      <w:r>
        <w:rPr>
          <w:b/>
          <w:bCs/>
          <w:sz w:val="28"/>
          <w:szCs w:val="24"/>
        </w:rPr>
        <w:t>出具日期：</w:t>
      </w:r>
      <w:r>
        <w:rPr>
          <w:sz w:val="28"/>
          <w:szCs w:val="24"/>
        </w:rPr>
        <w:t>20XX年XX月XX日</w:t>
      </w:r>
    </w:p>
    <w:p w14:paraId="19ABAD13">
      <w:pPr>
        <w:pStyle w:val="56"/>
        <w:ind w:firstLine="640"/>
        <w:jc w:val="center"/>
        <w:rPr>
          <w:rFonts w:ascii="国标黑体" w:hAnsi="国标黑体" w:eastAsia="国标黑体" w:cs="国标黑体"/>
          <w:sz w:val="32"/>
          <w:szCs w:val="28"/>
        </w:rPr>
      </w:pPr>
      <w:r>
        <w:rPr>
          <w:rFonts w:hint="eastAsia" w:ascii="国标黑体" w:hAnsi="国标黑体" w:eastAsia="国标黑体" w:cs="国标黑体"/>
          <w:sz w:val="32"/>
          <w:szCs w:val="28"/>
        </w:rPr>
        <w:t xml:space="preserve">目 </w:t>
      </w:r>
      <w:r>
        <w:rPr>
          <w:rFonts w:ascii="国标黑体" w:hAnsi="国标黑体" w:eastAsia="国标黑体" w:cs="国标黑体"/>
          <w:sz w:val="32"/>
          <w:szCs w:val="28"/>
        </w:rPr>
        <w:t xml:space="preserve"> </w:t>
      </w:r>
      <w:r>
        <w:rPr>
          <w:rFonts w:hint="eastAsia" w:ascii="国标黑体" w:hAnsi="国标黑体" w:eastAsia="国标黑体" w:cs="国标黑体"/>
          <w:sz w:val="32"/>
          <w:szCs w:val="28"/>
        </w:rPr>
        <w:t>录</w:t>
      </w:r>
    </w:p>
    <w:p w14:paraId="6A1B80F3">
      <w:pPr>
        <w:pStyle w:val="56"/>
        <w:numPr>
          <w:ilvl w:val="0"/>
          <w:numId w:val="33"/>
        </w:numPr>
        <w:ind w:firstLine="0" w:firstLineChars="0"/>
        <w:rPr>
          <w:rFonts w:ascii="国标黑体" w:hAnsi="国标黑体" w:eastAsia="国标黑体" w:cs="国标黑体"/>
          <w:szCs w:val="21"/>
        </w:rPr>
      </w:pPr>
      <w:r>
        <w:rPr>
          <w:rFonts w:hint="eastAsia" w:ascii="国标黑体" w:hAnsi="国标黑体" w:eastAsia="国标黑体" w:cs="国标黑体"/>
          <w:szCs w:val="21"/>
        </w:rPr>
        <w:t>跟踪报告摘要</w:t>
      </w:r>
    </w:p>
    <w:p w14:paraId="3C2EDC52">
      <w:pPr>
        <w:pStyle w:val="56"/>
        <w:ind w:firstLine="420"/>
        <w:rPr>
          <w:szCs w:val="21"/>
        </w:rPr>
      </w:pPr>
      <w:r>
        <w:rPr>
          <w:szCs w:val="21"/>
        </w:rPr>
        <w:t>浓缩跟踪周期、覆盖范围，提炼核心改进成效（如能耗/碳排放下降数据）与突出问题（如未达标的关键指标）。</w:t>
      </w:r>
    </w:p>
    <w:p w14:paraId="6CC6FACC">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跟踪概况</w:t>
      </w:r>
    </w:p>
    <w:p w14:paraId="2890491D">
      <w:pPr>
        <w:pStyle w:val="56"/>
        <w:numPr>
          <w:ilvl w:val="0"/>
          <w:numId w:val="34"/>
        </w:numPr>
        <w:ind w:firstLine="0" w:firstLineChars="0"/>
        <w:rPr>
          <w:b/>
          <w:bCs/>
          <w:szCs w:val="21"/>
        </w:rPr>
      </w:pPr>
      <w:r>
        <w:rPr>
          <w:b/>
          <w:bCs/>
          <w:szCs w:val="21"/>
        </w:rPr>
        <w:t>跟踪依据与原则</w:t>
      </w:r>
    </w:p>
    <w:p w14:paraId="4251B1AE">
      <w:pPr>
        <w:pStyle w:val="56"/>
        <w:ind w:firstLine="420"/>
        <w:rPr>
          <w:szCs w:val="21"/>
        </w:rPr>
      </w:pPr>
      <w:r>
        <w:rPr>
          <w:szCs w:val="21"/>
        </w:rPr>
        <w:t>明确引用《工业企业绿色诊断指南》、前期诊断/首次跟踪报告编号及相关国标，重申“客观真实、闭环管理”原则，说明落实方式（如数据追溯、问题整改）。</w:t>
      </w:r>
    </w:p>
    <w:p w14:paraId="531A3960">
      <w:pPr>
        <w:pStyle w:val="56"/>
        <w:numPr>
          <w:ilvl w:val="0"/>
          <w:numId w:val="34"/>
        </w:numPr>
        <w:ind w:firstLine="0" w:firstLineChars="0"/>
        <w:rPr>
          <w:b/>
          <w:bCs/>
          <w:szCs w:val="21"/>
        </w:rPr>
      </w:pPr>
      <w:r>
        <w:rPr>
          <w:b/>
          <w:bCs/>
          <w:szCs w:val="21"/>
        </w:rPr>
        <w:t>跟踪时间、人员及范围</w:t>
      </w:r>
    </w:p>
    <w:p w14:paraId="3017F78F">
      <w:pPr>
        <w:pStyle w:val="56"/>
        <w:ind w:firstLine="420"/>
        <w:rPr>
          <w:szCs w:val="21"/>
        </w:rPr>
      </w:pPr>
      <w:r>
        <w:rPr>
          <w:szCs w:val="21"/>
        </w:rPr>
        <w:t>标注资料核查、现场验证、报告编制的具体时间；分角色列明第三方机构、企业配合人员（含分工/专业）及专家信息；明确覆盖的生产环节、管理领域、设备设施，说明未覆盖范围及原因。</w:t>
      </w:r>
    </w:p>
    <w:p w14:paraId="22810111">
      <w:pPr>
        <w:pStyle w:val="56"/>
        <w:numPr>
          <w:ilvl w:val="0"/>
          <w:numId w:val="34"/>
        </w:numPr>
        <w:ind w:firstLine="0" w:firstLineChars="0"/>
        <w:rPr>
          <w:b/>
          <w:bCs/>
          <w:szCs w:val="21"/>
        </w:rPr>
      </w:pPr>
      <w:r>
        <w:rPr>
          <w:b/>
          <w:bCs/>
          <w:szCs w:val="21"/>
        </w:rPr>
        <w:t>跟踪工作流程</w:t>
      </w:r>
    </w:p>
    <w:p w14:paraId="4A12B407">
      <w:pPr>
        <w:pStyle w:val="56"/>
        <w:ind w:firstLine="420"/>
        <w:rPr>
          <w:szCs w:val="21"/>
        </w:rPr>
      </w:pPr>
      <w:r>
        <w:rPr>
          <w:szCs w:val="21"/>
        </w:rPr>
        <w:t>简述前期资料收集清单与工具准备、资料核查重点与初步问题、现场验证方式（查看/测试/访谈）与结果、数据处理方法（如按国标核算）与分析逻辑。</w:t>
      </w:r>
    </w:p>
    <w:p w14:paraId="4A915BFD">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改进措施实施情况核查</w:t>
      </w:r>
    </w:p>
    <w:p w14:paraId="4582E4E2">
      <w:pPr>
        <w:pStyle w:val="56"/>
        <w:numPr>
          <w:ilvl w:val="0"/>
          <w:numId w:val="35"/>
        </w:numPr>
        <w:ind w:firstLine="0" w:firstLineChars="0"/>
        <w:rPr>
          <w:b/>
          <w:bCs/>
          <w:szCs w:val="21"/>
        </w:rPr>
      </w:pPr>
      <w:r>
        <w:rPr>
          <w:b/>
          <w:bCs/>
          <w:szCs w:val="21"/>
        </w:rPr>
        <w:t>企业绿色改造计划落实进度</w:t>
      </w:r>
    </w:p>
    <w:p w14:paraId="49938220">
      <w:pPr>
        <w:pStyle w:val="56"/>
        <w:ind w:firstLine="420"/>
        <w:rPr>
          <w:szCs w:val="21"/>
        </w:rPr>
      </w:pPr>
      <w:r>
        <w:rPr>
          <w:szCs w:val="21"/>
        </w:rPr>
        <w:t>对比改造计划（项目名/时间/投资/成效）与实际实施情况，说明延迟/超支原因；对未实施项目，阐述原因、企业后续计划及跟踪建议。</w:t>
      </w:r>
    </w:p>
    <w:p w14:paraId="3AF3DF2A">
      <w:pPr>
        <w:pStyle w:val="56"/>
        <w:numPr>
          <w:ilvl w:val="0"/>
          <w:numId w:val="35"/>
        </w:numPr>
        <w:ind w:firstLine="0" w:firstLineChars="0"/>
        <w:rPr>
          <w:b/>
          <w:bCs/>
          <w:szCs w:val="21"/>
        </w:rPr>
      </w:pPr>
      <w:r>
        <w:rPr>
          <w:b/>
          <w:bCs/>
          <w:szCs w:val="21"/>
        </w:rPr>
        <w:t>技术措施实施详情</w:t>
      </w:r>
    </w:p>
    <w:p w14:paraId="38C52A6C">
      <w:pPr>
        <w:pStyle w:val="56"/>
        <w:ind w:firstLine="420"/>
        <w:rPr>
          <w:szCs w:val="21"/>
        </w:rPr>
      </w:pPr>
      <w:r>
        <w:rPr>
          <w:szCs w:val="21"/>
        </w:rPr>
        <w:t>分工艺/设备/用能/用水系统，说明改造内容、实施后参数变化（如反应时间缩短、热损失减少）及是否达预期，提及运行中的问题（如设备故障）。</w:t>
      </w:r>
    </w:p>
    <w:p w14:paraId="7EF934BE">
      <w:pPr>
        <w:pStyle w:val="56"/>
        <w:numPr>
          <w:ilvl w:val="0"/>
          <w:numId w:val="35"/>
        </w:numPr>
        <w:ind w:firstLine="0" w:firstLineChars="0"/>
        <w:rPr>
          <w:b/>
          <w:bCs/>
          <w:szCs w:val="21"/>
        </w:rPr>
      </w:pPr>
      <w:r>
        <w:rPr>
          <w:b/>
          <w:bCs/>
          <w:szCs w:val="21"/>
        </w:rPr>
        <w:t>管理措施优化情况</w:t>
      </w:r>
    </w:p>
    <w:p w14:paraId="3969501D">
      <w:pPr>
        <w:pStyle w:val="56"/>
        <w:ind w:firstLine="420"/>
        <w:rPr>
          <w:szCs w:val="21"/>
        </w:rPr>
      </w:pPr>
      <w:r>
        <w:rPr>
          <w:szCs w:val="21"/>
        </w:rPr>
        <w:t>核查体系运行（如内部审核/文件更新）、制度修订（如考核办法新增指标）、目标完成情况，举例说明执行效果与未达标整改措施。</w:t>
      </w:r>
    </w:p>
    <w:p w14:paraId="18334260">
      <w:pPr>
        <w:pStyle w:val="56"/>
        <w:numPr>
          <w:ilvl w:val="0"/>
          <w:numId w:val="35"/>
        </w:numPr>
        <w:ind w:firstLine="0" w:firstLineChars="0"/>
        <w:rPr>
          <w:b/>
          <w:bCs/>
          <w:szCs w:val="21"/>
        </w:rPr>
      </w:pPr>
      <w:r>
        <w:rPr>
          <w:b/>
          <w:bCs/>
          <w:szCs w:val="21"/>
        </w:rPr>
        <w:t>资料核查与现场验证结果</w:t>
      </w:r>
    </w:p>
    <w:p w14:paraId="01862E8D">
      <w:pPr>
        <w:pStyle w:val="56"/>
        <w:ind w:firstLine="420"/>
        <w:rPr>
          <w:szCs w:val="21"/>
        </w:rPr>
      </w:pPr>
      <w:r>
        <w:rPr>
          <w:szCs w:val="21"/>
        </w:rPr>
        <w:t>说明关键资料真实性验证方式（如台账与缴费凭证比对）、现场与资料一致性验证结果（如设备状态与记录匹配度），列出发现的问题及企业确认情况。</w:t>
      </w:r>
    </w:p>
    <w:p w14:paraId="13B48A40">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跟踪效果评估</w:t>
      </w:r>
    </w:p>
    <w:p w14:paraId="1028877B">
      <w:pPr>
        <w:pStyle w:val="56"/>
        <w:numPr>
          <w:ilvl w:val="0"/>
          <w:numId w:val="36"/>
        </w:numPr>
        <w:ind w:firstLine="0" w:firstLineChars="0"/>
        <w:rPr>
          <w:b/>
          <w:bCs/>
          <w:szCs w:val="21"/>
        </w:rPr>
      </w:pPr>
      <w:r>
        <w:rPr>
          <w:b/>
          <w:bCs/>
          <w:szCs w:val="21"/>
        </w:rPr>
        <w:t>能源利用效率变化分析</w:t>
      </w:r>
    </w:p>
    <w:p w14:paraId="7DE22A92">
      <w:pPr>
        <w:pStyle w:val="56"/>
        <w:ind w:firstLine="420"/>
        <w:rPr>
          <w:szCs w:val="21"/>
        </w:rPr>
      </w:pPr>
      <w:r>
        <w:rPr>
          <w:szCs w:val="21"/>
        </w:rPr>
        <w:t>对比核心能耗指标（年综合能耗、单位产品能耗等）的基准期/首次跟踪/本次跟踪值，分析用能结构优化（如可再生能源占比提升）及能效与行业先进值的差距。</w:t>
      </w:r>
    </w:p>
    <w:p w14:paraId="68882407">
      <w:pPr>
        <w:pStyle w:val="56"/>
        <w:numPr>
          <w:ilvl w:val="0"/>
          <w:numId w:val="36"/>
        </w:numPr>
        <w:ind w:firstLine="0" w:firstLineChars="0"/>
        <w:rPr>
          <w:b/>
          <w:bCs/>
          <w:szCs w:val="21"/>
        </w:rPr>
      </w:pPr>
      <w:r>
        <w:rPr>
          <w:b/>
          <w:bCs/>
          <w:szCs w:val="21"/>
        </w:rPr>
        <w:t>资源节约指标改善情况</w:t>
      </w:r>
    </w:p>
    <w:p w14:paraId="49DB01E0">
      <w:pPr>
        <w:pStyle w:val="56"/>
        <w:ind w:firstLine="420"/>
        <w:rPr>
          <w:szCs w:val="21"/>
        </w:rPr>
      </w:pPr>
      <w:r>
        <w:rPr>
          <w:szCs w:val="21"/>
        </w:rPr>
        <w:t>呈现水资源（新水取用量、重复利用率）、原材料（单耗、固废综合利用率）指标变化，说明资源节约的经济效益，指出未达预期的指标及原因。</w:t>
      </w:r>
    </w:p>
    <w:p w14:paraId="71E3C657">
      <w:pPr>
        <w:pStyle w:val="56"/>
        <w:numPr>
          <w:ilvl w:val="0"/>
          <w:numId w:val="36"/>
        </w:numPr>
        <w:ind w:firstLine="0" w:firstLineChars="0"/>
        <w:rPr>
          <w:b/>
          <w:bCs/>
          <w:szCs w:val="21"/>
        </w:rPr>
      </w:pPr>
      <w:r>
        <w:rPr>
          <w:b/>
          <w:bCs/>
          <w:szCs w:val="21"/>
        </w:rPr>
        <w:t>污染物与温室气体减排成效</w:t>
      </w:r>
    </w:p>
    <w:p w14:paraId="4A3CDAE3">
      <w:pPr>
        <w:pStyle w:val="56"/>
        <w:ind w:firstLine="420"/>
        <w:rPr>
          <w:szCs w:val="21"/>
        </w:rPr>
      </w:pPr>
      <w:r>
        <w:rPr>
          <w:szCs w:val="21"/>
        </w:rPr>
        <w:t>对比污染物（颗粒物、COD等）排放量及达标情况，核算温室气体排放量与单位产品碳排放强度变化，评估与碳达峰目标的差距。</w:t>
      </w:r>
    </w:p>
    <w:p w14:paraId="1BA603DE">
      <w:pPr>
        <w:pStyle w:val="56"/>
        <w:numPr>
          <w:ilvl w:val="0"/>
          <w:numId w:val="36"/>
        </w:numPr>
        <w:ind w:firstLine="0" w:firstLineChars="0"/>
        <w:rPr>
          <w:b/>
          <w:bCs/>
          <w:szCs w:val="21"/>
        </w:rPr>
      </w:pPr>
      <w:r>
        <w:rPr>
          <w:b/>
          <w:bCs/>
          <w:szCs w:val="21"/>
        </w:rPr>
        <w:t>绿色绩效对标更新</w:t>
      </w:r>
    </w:p>
    <w:p w14:paraId="4AEF277A">
      <w:pPr>
        <w:pStyle w:val="56"/>
        <w:ind w:firstLine="420"/>
        <w:rPr>
          <w:szCs w:val="21"/>
        </w:rPr>
      </w:pPr>
      <w:r>
        <w:rPr>
          <w:szCs w:val="21"/>
        </w:rPr>
        <w:t>将绿色绩效指标（单位产值能耗、绿色产品占比）与行业平均/先进水平、国标/地方标准对比，说明达标情况及未达标计划。</w:t>
      </w:r>
    </w:p>
    <w:p w14:paraId="53CA4644">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存在问题与整改建议</w:t>
      </w:r>
    </w:p>
    <w:p w14:paraId="11F67B78">
      <w:pPr>
        <w:pStyle w:val="56"/>
        <w:numPr>
          <w:ilvl w:val="0"/>
          <w:numId w:val="37"/>
        </w:numPr>
        <w:ind w:firstLine="0" w:firstLineChars="0"/>
        <w:rPr>
          <w:b/>
          <w:bCs/>
          <w:szCs w:val="21"/>
        </w:rPr>
      </w:pPr>
      <w:r>
        <w:rPr>
          <w:b/>
          <w:bCs/>
          <w:szCs w:val="21"/>
        </w:rPr>
        <w:t>未达预期目标的原因分析</w:t>
      </w:r>
    </w:p>
    <w:p w14:paraId="37EB5920">
      <w:pPr>
        <w:pStyle w:val="56"/>
        <w:ind w:firstLine="420"/>
        <w:rPr>
          <w:szCs w:val="21"/>
        </w:rPr>
      </w:pPr>
      <w:r>
        <w:rPr>
          <w:szCs w:val="21"/>
        </w:rPr>
        <w:t>从技术（如设备老化）、管理（如操作不规范）、外部（如燃料供应不稳定）层面，剖析未达预期指标的具体原因。</w:t>
      </w:r>
    </w:p>
    <w:p w14:paraId="5AC6F2BF">
      <w:pPr>
        <w:pStyle w:val="56"/>
        <w:numPr>
          <w:ilvl w:val="0"/>
          <w:numId w:val="37"/>
        </w:numPr>
        <w:ind w:firstLine="0" w:firstLineChars="0"/>
        <w:rPr>
          <w:b/>
          <w:bCs/>
          <w:szCs w:val="21"/>
        </w:rPr>
      </w:pPr>
      <w:r>
        <w:rPr>
          <w:b/>
          <w:bCs/>
          <w:szCs w:val="21"/>
        </w:rPr>
        <w:t>针对性整改措施建议</w:t>
      </w:r>
    </w:p>
    <w:p w14:paraId="1D5B663A">
      <w:pPr>
        <w:pStyle w:val="56"/>
        <w:ind w:firstLine="420"/>
        <w:rPr>
          <w:szCs w:val="21"/>
        </w:rPr>
      </w:pPr>
      <w:r>
        <w:rPr>
          <w:szCs w:val="21"/>
        </w:rPr>
        <w:t>针对问题，分技术（如更换零件、制定清洁计划）、管理（如培训考核、更新采购规范）、外部协调（如签订长期供应合同）提出可落地的整改措施与时限。</w:t>
      </w:r>
    </w:p>
    <w:p w14:paraId="566D7491">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参考文件</w:t>
      </w:r>
    </w:p>
    <w:p w14:paraId="401DD30A">
      <w:pPr>
        <w:pStyle w:val="56"/>
        <w:ind w:firstLine="420"/>
        <w:rPr>
          <w:szCs w:val="21"/>
        </w:rPr>
      </w:pPr>
      <w:r>
        <w:rPr>
          <w:szCs w:val="21"/>
        </w:rPr>
        <w:t>列出《工业企业绿色诊断指南》、前期诊断/首次跟踪报告、相关国标、企业改造佐证材料（竣工报告/台账）、第三方核查报告等。</w:t>
      </w:r>
    </w:p>
    <w:p w14:paraId="533603D8">
      <w:pPr>
        <w:pStyle w:val="56"/>
        <w:numPr>
          <w:ilvl w:val="0"/>
          <w:numId w:val="33"/>
        </w:numPr>
        <w:ind w:firstLine="0" w:firstLineChars="0"/>
        <w:rPr>
          <w:rFonts w:ascii="国标黑体" w:hAnsi="国标黑体" w:eastAsia="国标黑体" w:cs="国标黑体"/>
          <w:szCs w:val="21"/>
        </w:rPr>
      </w:pPr>
      <w:r>
        <w:rPr>
          <w:rFonts w:ascii="国标黑体" w:hAnsi="国标黑体" w:eastAsia="国标黑体" w:cs="国标黑体"/>
          <w:szCs w:val="21"/>
        </w:rPr>
        <w:t>附件</w:t>
      </w:r>
    </w:p>
    <w:p w14:paraId="5A3E4DCF">
      <w:pPr>
        <w:pStyle w:val="56"/>
        <w:ind w:firstLine="420"/>
        <w:rPr>
          <w:szCs w:val="21"/>
        </w:rPr>
      </w:pPr>
      <w:r>
        <w:rPr>
          <w:szCs w:val="21"/>
        </w:rPr>
        <w:t>明确包含改造项目佐证（合同/照片）、数据记录（缴费凭证/监测报告）、现场验证材料（照片/测试记录/访谈签字）、指标核算说明（公式/步骤）等。</w:t>
      </w:r>
    </w:p>
    <w:p w14:paraId="233BDDF6">
      <w:pPr>
        <w:spacing w:line="240" w:lineRule="auto"/>
      </w:pPr>
      <w:r>
        <w:br w:type="page"/>
      </w:r>
    </w:p>
    <w:p w14:paraId="4ABEDF16">
      <w:pPr>
        <w:widowControl/>
        <w:spacing w:line="240" w:lineRule="auto"/>
        <w:jc w:val="left"/>
      </w:pPr>
    </w:p>
    <w:p w14:paraId="17813C17">
      <w:pPr>
        <w:pStyle w:val="198"/>
        <w:spacing w:line="240" w:lineRule="auto"/>
      </w:pPr>
    </w:p>
    <w:p w14:paraId="53EB03D0">
      <w:pPr>
        <w:pStyle w:val="199"/>
        <w:numPr>
          <w:ilvl w:val="0"/>
          <w:numId w:val="0"/>
        </w:numPr>
        <w:spacing w:line="240" w:lineRule="auto"/>
        <w:ind w:left="425"/>
        <w:jc w:val="both"/>
        <w:sectPr>
          <w:pgSz w:w="11906" w:h="16838"/>
          <w:pgMar w:top="1928" w:right="1134" w:bottom="1134" w:left="1134" w:header="1418" w:footer="1134" w:gutter="284"/>
          <w:cols w:space="425" w:num="1"/>
          <w:formProt w:val="0"/>
          <w:docGrid w:type="lines" w:linePitch="312" w:charSpace="0"/>
        </w:sectPr>
      </w:pPr>
    </w:p>
    <w:p w14:paraId="79FE2B02">
      <w:pPr>
        <w:pStyle w:val="198"/>
        <w:spacing w:line="240" w:lineRule="auto"/>
      </w:pPr>
    </w:p>
    <w:p w14:paraId="26C4F3E0">
      <w:pPr>
        <w:pStyle w:val="199"/>
        <w:spacing w:line="240" w:lineRule="auto"/>
      </w:pPr>
    </w:p>
    <w:p w14:paraId="6CCC8D7F">
      <w:pPr>
        <w:pStyle w:val="76"/>
        <w:spacing w:before="0" w:after="0" w:afterLines="0"/>
      </w:pPr>
      <w:bookmarkStart w:id="104" w:name="_Toc1565509375"/>
      <w:r>
        <w:br w:type="textWrapping"/>
      </w:r>
      <w:bookmarkStart w:id="105" w:name="_Toc201588679"/>
      <w:r>
        <w:rPr>
          <w:rFonts w:hint="eastAsia"/>
        </w:rPr>
        <w:t>（规范性）</w:t>
      </w:r>
      <w:r>
        <w:br w:type="textWrapping"/>
      </w:r>
      <w:r>
        <w:rPr>
          <w:rFonts w:hint="eastAsia"/>
        </w:rPr>
        <w:t>绿色诊断报告模板</w:t>
      </w:r>
      <w:bookmarkEnd w:id="104"/>
      <w:bookmarkEnd w:id="105"/>
    </w:p>
    <w:p w14:paraId="7E5D3905">
      <w:pPr>
        <w:pStyle w:val="56"/>
        <w:ind w:firstLine="420"/>
        <w:jc w:val="center"/>
      </w:pPr>
      <w:r>
        <w:drawing>
          <wp:inline distT="0" distB="0" distL="0" distR="0">
            <wp:extent cx="5009515" cy="7165975"/>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rcRect l="6021" t="9882" r="4761"/>
                    <a:stretch>
                      <a:fillRect/>
                    </a:stretch>
                  </pic:blipFill>
                  <pic:spPr>
                    <a:xfrm>
                      <a:off x="0" y="0"/>
                      <a:ext cx="5010451" cy="7166865"/>
                    </a:xfrm>
                    <a:prstGeom prst="rect">
                      <a:avLst/>
                    </a:prstGeom>
                    <a:ln>
                      <a:noFill/>
                    </a:ln>
                  </pic:spPr>
                </pic:pic>
              </a:graphicData>
            </a:graphic>
          </wp:inline>
        </w:drawing>
      </w:r>
    </w:p>
    <w:p w14:paraId="596166A2">
      <w:pPr>
        <w:pStyle w:val="56"/>
        <w:ind w:firstLine="0" w:firstLineChars="0"/>
        <w:jc w:val="center"/>
        <w:rPr>
          <w:rFonts w:ascii="Times New Roman"/>
          <w:b/>
          <w:bCs/>
          <w:sz w:val="24"/>
          <w:szCs w:val="24"/>
        </w:rPr>
      </w:pPr>
      <w:r>
        <w:rPr>
          <w:rFonts w:ascii="Times New Roman"/>
          <w:b/>
          <w:bCs/>
          <w:sz w:val="24"/>
          <w:szCs w:val="24"/>
        </w:rPr>
        <w:t>图1  绿色诊断报告封面</w:t>
      </w:r>
      <w:r>
        <w:rPr>
          <w:rFonts w:hint="eastAsia" w:ascii="Times New Roman"/>
          <w:b/>
          <w:bCs/>
          <w:sz w:val="24"/>
          <w:szCs w:val="24"/>
        </w:rPr>
        <w:t>页</w:t>
      </w:r>
    </w:p>
    <w:p w14:paraId="08AB2B66">
      <w:pPr>
        <w:spacing w:line="240" w:lineRule="auto"/>
        <w:jc w:val="center"/>
        <w:rPr>
          <w:rFonts w:ascii="Times New Roman" w:hAnsi="Times New Roman" w:eastAsia="仿宋_GB2312"/>
          <w:spacing w:val="-6"/>
          <w:sz w:val="32"/>
          <w:szCs w:val="32"/>
        </w:rPr>
      </w:pPr>
      <w:r>
        <w:drawing>
          <wp:inline distT="0" distB="0" distL="0" distR="0">
            <wp:extent cx="5387975" cy="7505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5393273" cy="7512408"/>
                    </a:xfrm>
                    <a:prstGeom prst="rect">
                      <a:avLst/>
                    </a:prstGeom>
                  </pic:spPr>
                </pic:pic>
              </a:graphicData>
            </a:graphic>
          </wp:inline>
        </w:drawing>
      </w:r>
    </w:p>
    <w:p w14:paraId="29AC93AA">
      <w:pPr>
        <w:spacing w:line="240" w:lineRule="auto"/>
        <w:jc w:val="center"/>
        <w:rPr>
          <w:rFonts w:ascii="Times New Roman" w:hAnsi="Times New Roman"/>
          <w:b/>
          <w:bCs/>
          <w:sz w:val="24"/>
          <w:szCs w:val="24"/>
        </w:rPr>
      </w:pPr>
      <w:r>
        <w:rPr>
          <w:rFonts w:ascii="Times New Roman" w:hAnsi="Times New Roman"/>
          <w:b/>
          <w:bCs/>
          <w:sz w:val="24"/>
          <w:szCs w:val="24"/>
        </w:rPr>
        <w:t>图2  绿色诊断报告</w:t>
      </w:r>
      <w:r>
        <w:rPr>
          <w:rFonts w:hint="eastAsia" w:ascii="Times New Roman" w:hAnsi="Times New Roman"/>
          <w:b/>
          <w:bCs/>
          <w:sz w:val="24"/>
          <w:szCs w:val="24"/>
        </w:rPr>
        <w:t>基本信息表页</w:t>
      </w:r>
    </w:p>
    <w:p w14:paraId="5CA9AFA8">
      <w:pPr>
        <w:spacing w:line="240" w:lineRule="auto"/>
        <w:jc w:val="center"/>
        <w:rPr>
          <w:rFonts w:ascii="Times New Roman" w:hAnsi="Times New Roman" w:eastAsia="仿宋_GB2312"/>
          <w:spacing w:val="-6"/>
          <w:sz w:val="32"/>
          <w:szCs w:val="32"/>
        </w:rPr>
      </w:pPr>
      <w:r>
        <w:drawing>
          <wp:inline distT="0" distB="0" distL="0" distR="0">
            <wp:extent cx="5615940" cy="7385050"/>
            <wp:effectExtent l="0" t="0" r="1016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5615940" cy="7385050"/>
                    </a:xfrm>
                    <a:prstGeom prst="rect">
                      <a:avLst/>
                    </a:prstGeom>
                  </pic:spPr>
                </pic:pic>
              </a:graphicData>
            </a:graphic>
          </wp:inline>
        </w:drawing>
      </w:r>
    </w:p>
    <w:p w14:paraId="74C4A422">
      <w:pPr>
        <w:spacing w:line="240" w:lineRule="auto"/>
        <w:jc w:val="center"/>
        <w:rPr>
          <w:rFonts w:ascii="Times New Roman" w:hAnsi="Times New Roman"/>
          <w:b/>
          <w:bCs/>
          <w:sz w:val="24"/>
          <w:szCs w:val="24"/>
        </w:rPr>
      </w:pPr>
      <w:r>
        <w:rPr>
          <w:rFonts w:ascii="Times New Roman" w:hAnsi="Times New Roman"/>
          <w:b/>
          <w:bCs/>
          <w:sz w:val="24"/>
          <w:szCs w:val="24"/>
        </w:rPr>
        <w:t>图3  绿色诊断报告</w:t>
      </w:r>
      <w:r>
        <w:rPr>
          <w:rFonts w:hint="eastAsia" w:ascii="Times New Roman" w:hAnsi="Times New Roman"/>
          <w:b/>
          <w:bCs/>
          <w:sz w:val="24"/>
          <w:szCs w:val="24"/>
        </w:rPr>
        <w:t>确认单页</w:t>
      </w:r>
    </w:p>
    <w:p w14:paraId="36D99FF8">
      <w:pPr>
        <w:tabs>
          <w:tab w:val="left" w:pos="7560"/>
        </w:tabs>
        <w:spacing w:line="240" w:lineRule="auto"/>
        <w:ind w:right="1283" w:rightChars="611"/>
        <w:jc w:val="right"/>
        <w:rPr>
          <w:rFonts w:ascii="黑体" w:hAnsi="黑体" w:eastAsia="黑体"/>
          <w:spacing w:val="-6"/>
          <w:sz w:val="32"/>
          <w:szCs w:val="32"/>
        </w:rPr>
        <w:sectPr>
          <w:footerReference r:id="rId12" w:type="default"/>
          <w:pgSz w:w="11905" w:h="16838"/>
          <w:pgMar w:top="2098" w:right="1474" w:bottom="1984" w:left="1587" w:header="851" w:footer="992" w:gutter="0"/>
          <w:cols w:space="720" w:num="1"/>
          <w:docGrid w:type="lines" w:linePitch="442" w:charSpace="0"/>
        </w:sectPr>
      </w:pPr>
    </w:p>
    <w:p w14:paraId="55DAAB0F">
      <w:pPr>
        <w:spacing w:line="240" w:lineRule="auto"/>
      </w:pPr>
    </w:p>
    <w:p w14:paraId="40E1409B">
      <w:pPr>
        <w:spacing w:line="240" w:lineRule="auto"/>
        <w:jc w:val="center"/>
        <w:rPr>
          <w:rFonts w:ascii="Times New Roman" w:hAnsi="Times New Roman"/>
          <w:b/>
          <w:bCs/>
          <w:sz w:val="24"/>
          <w:szCs w:val="24"/>
        </w:rPr>
      </w:pPr>
    </w:p>
    <w:p w14:paraId="1C785234">
      <w:pPr>
        <w:spacing w:line="240" w:lineRule="auto"/>
        <w:jc w:val="center"/>
        <w:rPr>
          <w:rFonts w:ascii="Times New Roman" w:hAnsi="Times New Roman"/>
          <w:b/>
          <w:bCs/>
          <w:sz w:val="24"/>
          <w:szCs w:val="24"/>
        </w:rPr>
      </w:pPr>
      <w:r>
        <w:drawing>
          <wp:anchor distT="0" distB="0" distL="0" distR="0" simplePos="0" relativeHeight="251661312" behindDoc="0" locked="0" layoutInCell="1" allowOverlap="1">
            <wp:simplePos x="0" y="0"/>
            <wp:positionH relativeFrom="column">
              <wp:posOffset>368935</wp:posOffset>
            </wp:positionH>
            <wp:positionV relativeFrom="paragraph">
              <wp:posOffset>230505</wp:posOffset>
            </wp:positionV>
            <wp:extent cx="5274310" cy="5539105"/>
            <wp:effectExtent l="0" t="0" r="8890" b="1079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274310" cy="5539105"/>
                    </a:xfrm>
                    <a:prstGeom prst="rect">
                      <a:avLst/>
                    </a:prstGeom>
                  </pic:spPr>
                </pic:pic>
              </a:graphicData>
            </a:graphic>
          </wp:anchor>
        </w:drawing>
      </w:r>
      <w:r>
        <w:rPr>
          <w:rFonts w:ascii="Times New Roman" w:hAnsi="Times New Roman"/>
          <w:b/>
          <w:bCs/>
          <w:sz w:val="24"/>
          <w:szCs w:val="24"/>
        </w:rPr>
        <w:t>图4  绿色诊断报告</w:t>
      </w:r>
      <w:r>
        <w:rPr>
          <w:rFonts w:hint="eastAsia" w:ascii="Times New Roman" w:hAnsi="Times New Roman"/>
          <w:b/>
          <w:bCs/>
          <w:sz w:val="24"/>
          <w:szCs w:val="24"/>
        </w:rPr>
        <w:t>诊断工作组成员名单页</w:t>
      </w:r>
    </w:p>
    <w:p w14:paraId="4EF64AD7">
      <w:pPr>
        <w:spacing w:line="240" w:lineRule="auto"/>
        <w:jc w:val="center"/>
        <w:rPr>
          <w:rFonts w:ascii="Times New Roman" w:hAnsi="Times New Roman"/>
          <w:b/>
          <w:bCs/>
          <w:sz w:val="24"/>
          <w:szCs w:val="24"/>
        </w:rPr>
      </w:pPr>
    </w:p>
    <w:p w14:paraId="59A1EB8D">
      <w:pPr>
        <w:widowControl/>
        <w:spacing w:line="240" w:lineRule="auto"/>
        <w:jc w:val="left"/>
        <w:rPr>
          <w:rFonts w:ascii="Times New Roman" w:hAnsi="Times New Roman"/>
          <w:b/>
          <w:bCs/>
          <w:sz w:val="24"/>
          <w:szCs w:val="24"/>
        </w:rPr>
      </w:pPr>
      <w:r>
        <w:rPr>
          <w:rFonts w:ascii="Times New Roman" w:hAnsi="Times New Roman"/>
          <w:b/>
          <w:bCs/>
          <w:sz w:val="24"/>
          <w:szCs w:val="24"/>
        </w:rPr>
        <w:br w:type="page"/>
      </w:r>
    </w:p>
    <w:p w14:paraId="33D66B12">
      <w:pPr>
        <w:spacing w:line="240" w:lineRule="auto"/>
        <w:jc w:val="center"/>
      </w:pPr>
      <w:r>
        <w:drawing>
          <wp:anchor distT="0" distB="0" distL="0" distR="0" simplePos="0" relativeHeight="251662336" behindDoc="0" locked="0" layoutInCell="1" allowOverlap="1">
            <wp:simplePos x="0" y="0"/>
            <wp:positionH relativeFrom="column">
              <wp:posOffset>605790</wp:posOffset>
            </wp:positionH>
            <wp:positionV relativeFrom="paragraph">
              <wp:posOffset>-86360</wp:posOffset>
            </wp:positionV>
            <wp:extent cx="5132070" cy="8221345"/>
            <wp:effectExtent l="0" t="0" r="11430" b="825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rcRect b="4260"/>
                    <a:stretch>
                      <a:fillRect/>
                    </a:stretch>
                  </pic:blipFill>
                  <pic:spPr>
                    <a:xfrm>
                      <a:off x="0" y="0"/>
                      <a:ext cx="5132070" cy="8221345"/>
                    </a:xfrm>
                    <a:prstGeom prst="rect">
                      <a:avLst/>
                    </a:prstGeom>
                    <a:ln>
                      <a:noFill/>
                    </a:ln>
                  </pic:spPr>
                </pic:pic>
              </a:graphicData>
            </a:graphic>
          </wp:anchor>
        </w:drawing>
      </w:r>
      <w:r>
        <w:rPr>
          <w:rFonts w:ascii="Times New Roman" w:hAnsi="Times New Roman"/>
          <w:b/>
          <w:bCs/>
          <w:sz w:val="24"/>
          <w:szCs w:val="24"/>
        </w:rPr>
        <w:t>图5  绿色诊断报告</w:t>
      </w:r>
      <w:r>
        <w:rPr>
          <w:rFonts w:hint="eastAsia" w:ascii="Times New Roman" w:hAnsi="Times New Roman"/>
          <w:b/>
          <w:bCs/>
          <w:sz w:val="24"/>
          <w:szCs w:val="24"/>
        </w:rPr>
        <w:t>目录大纲页</w:t>
      </w:r>
      <w:bookmarkEnd w:id="14"/>
    </w:p>
    <w:p w14:paraId="2C6041F0">
      <w:pPr>
        <w:pStyle w:val="76"/>
        <w:spacing w:before="0" w:after="0" w:afterLines="0"/>
      </w:pPr>
      <w:r>
        <w:br w:type="textWrapping"/>
      </w:r>
      <w:r>
        <w:rPr>
          <w:rFonts w:hint="eastAsia"/>
        </w:rPr>
        <w:t>（规范性）</w:t>
      </w:r>
      <w:r>
        <w:br w:type="textWrapping"/>
      </w:r>
      <w:r>
        <w:rPr>
          <w:rFonts w:hint="eastAsia"/>
        </w:rPr>
        <w:t>服务合同模板</w:t>
      </w:r>
    </w:p>
    <w:p w14:paraId="20E6B2C0">
      <w:pPr>
        <w:snapToGrid w:val="0"/>
        <w:spacing w:line="240" w:lineRule="auto"/>
        <w:ind w:left="2953" w:right="1330" w:hanging="1542"/>
        <w:textAlignment w:val="baseline"/>
        <w:rPr>
          <w:sz w:val="44"/>
        </w:rPr>
      </w:pPr>
      <w:r>
        <w:rPr>
          <w:rFonts w:hint="eastAsia"/>
          <w:sz w:val="44"/>
        </w:rPr>
        <w:t>工业企业绿色</w:t>
      </w:r>
      <w:r>
        <w:rPr>
          <w:sz w:val="44"/>
        </w:rPr>
        <w:t>诊断服务合同</w:t>
      </w:r>
    </w:p>
    <w:p w14:paraId="4D64361B">
      <w:pPr>
        <w:snapToGrid w:val="0"/>
        <w:spacing w:line="240" w:lineRule="auto"/>
        <w:ind w:left="120"/>
        <w:textAlignment w:val="baseline"/>
        <w:rPr>
          <w:sz w:val="24"/>
          <w:szCs w:val="24"/>
        </w:rPr>
      </w:pPr>
      <w:r>
        <w:rPr>
          <w:sz w:val="24"/>
          <w:szCs w:val="24"/>
        </w:rPr>
        <w:t xml:space="preserve"> </w:t>
      </w:r>
    </w:p>
    <w:p w14:paraId="187C9928">
      <w:pPr>
        <w:pStyle w:val="13"/>
        <w:snapToGrid w:val="0"/>
        <w:spacing w:after="0" w:line="240" w:lineRule="auto"/>
        <w:textAlignment w:val="baseline"/>
        <w:rPr>
          <w:sz w:val="24"/>
          <w:szCs w:val="24"/>
        </w:rPr>
      </w:pPr>
      <w:r>
        <w:rPr>
          <w:sz w:val="24"/>
          <w:szCs w:val="24"/>
        </w:rPr>
        <w:t>甲方</w:t>
      </w:r>
      <w:r>
        <w:rPr>
          <w:rFonts w:hint="eastAsia"/>
          <w:sz w:val="24"/>
          <w:szCs w:val="24"/>
        </w:rPr>
        <w:t>：</w:t>
      </w:r>
      <w:r>
        <w:rPr>
          <w:sz w:val="24"/>
          <w:szCs w:val="24"/>
          <w:u w:val="single" w:color="000000"/>
        </w:rPr>
        <w:t xml:space="preserve"> </w:t>
      </w:r>
      <w:r>
        <w:rPr>
          <w:rFonts w:hint="eastAsia"/>
          <w:sz w:val="24"/>
          <w:szCs w:val="24"/>
          <w:u w:val="single" w:color="000000"/>
        </w:rPr>
        <w:t xml:space="preserve"> </w:t>
      </w:r>
      <w:r>
        <w:rPr>
          <w:sz w:val="24"/>
          <w:szCs w:val="24"/>
          <w:u w:val="single" w:color="000000"/>
        </w:rPr>
        <w:t xml:space="preserve">                 </w:t>
      </w:r>
      <w:r>
        <w:rPr>
          <w:rFonts w:hint="eastAsia"/>
          <w:sz w:val="24"/>
          <w:szCs w:val="24"/>
          <w:u w:val="single" w:color="000000"/>
        </w:rPr>
        <w:t xml:space="preserve"> </w:t>
      </w:r>
      <w:r>
        <w:rPr>
          <w:sz w:val="24"/>
          <w:szCs w:val="24"/>
        </w:rPr>
        <w:t xml:space="preserve"> </w:t>
      </w:r>
    </w:p>
    <w:p w14:paraId="14942ED5">
      <w:pPr>
        <w:pStyle w:val="13"/>
        <w:snapToGrid w:val="0"/>
        <w:spacing w:after="0" w:line="240" w:lineRule="auto"/>
        <w:ind w:left="679"/>
        <w:textAlignment w:val="baseline"/>
        <w:rPr>
          <w:sz w:val="24"/>
          <w:szCs w:val="24"/>
        </w:rPr>
      </w:pPr>
    </w:p>
    <w:p w14:paraId="13D5680A">
      <w:pPr>
        <w:pStyle w:val="13"/>
        <w:snapToGrid w:val="0"/>
        <w:spacing w:after="0" w:line="240" w:lineRule="auto"/>
        <w:textAlignment w:val="baseline"/>
        <w:rPr>
          <w:sz w:val="24"/>
          <w:szCs w:val="24"/>
        </w:rPr>
      </w:pPr>
      <w:r>
        <w:rPr>
          <w:sz w:val="24"/>
          <w:szCs w:val="24"/>
        </w:rPr>
        <w:t>乙方</w:t>
      </w:r>
      <w:r>
        <w:rPr>
          <w:rFonts w:hint="eastAsia"/>
          <w:sz w:val="24"/>
          <w:szCs w:val="24"/>
        </w:rPr>
        <w:t>：</w:t>
      </w:r>
      <w:r>
        <w:rPr>
          <w:sz w:val="24"/>
          <w:szCs w:val="24"/>
          <w:u w:val="single" w:color="000000"/>
        </w:rPr>
        <w:t xml:space="preserve"> </w:t>
      </w:r>
      <w:r>
        <w:rPr>
          <w:rFonts w:hint="eastAsia"/>
          <w:sz w:val="24"/>
          <w:szCs w:val="24"/>
          <w:u w:val="single" w:color="000000"/>
        </w:rPr>
        <w:t xml:space="preserve"> </w:t>
      </w:r>
      <w:r>
        <w:rPr>
          <w:sz w:val="24"/>
          <w:szCs w:val="24"/>
          <w:u w:val="single" w:color="000000"/>
        </w:rPr>
        <w:t xml:space="preserve">                  </w:t>
      </w:r>
      <w:r>
        <w:rPr>
          <w:sz w:val="24"/>
          <w:szCs w:val="24"/>
        </w:rPr>
        <w:t xml:space="preserve"> </w:t>
      </w:r>
    </w:p>
    <w:p w14:paraId="44C8BFD5">
      <w:pPr>
        <w:pStyle w:val="13"/>
        <w:snapToGrid w:val="0"/>
        <w:spacing w:after="0" w:line="240" w:lineRule="auto"/>
        <w:ind w:left="679"/>
        <w:textAlignment w:val="baseline"/>
        <w:rPr>
          <w:sz w:val="24"/>
          <w:szCs w:val="24"/>
        </w:rPr>
      </w:pPr>
    </w:p>
    <w:p w14:paraId="64742FDC">
      <w:pPr>
        <w:snapToGrid w:val="0"/>
        <w:spacing w:line="240" w:lineRule="auto"/>
        <w:ind w:firstLine="480" w:firstLineChars="200"/>
        <w:rPr>
          <w:spacing w:val="-3"/>
          <w:sz w:val="24"/>
          <w:szCs w:val="24"/>
        </w:rPr>
      </w:pPr>
      <w:r>
        <w:rPr>
          <w:rFonts w:hint="eastAsia" w:ascii="宋体" w:hAnsi="宋体" w:cs="宋体"/>
          <w:sz w:val="24"/>
          <w:szCs w:val="24"/>
        </w:rPr>
        <w:t>根据地方标准《工业企业绿色诊断指南》，识别企业能源消耗、设备效率、资源利用、环境污染、新能源、碳管理等方面的现状和问题，提出针对性的改进建议和措施，帮助工业企业挖掘节能降耗和减排增效的潜力，为制定科学合理的绿色发展战略提供有力支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拟对贵司开展绿色节能诊断服务，旨在帮助用能企业发掘节能潜力，促进节能改造的实施，最终实现企业的节能、降碳、减污、增效。</w:t>
      </w:r>
      <w:r>
        <w:rPr>
          <w:spacing w:val="-3"/>
          <w:sz w:val="24"/>
          <w:szCs w:val="24"/>
        </w:rPr>
        <w:t xml:space="preserve"> </w:t>
      </w:r>
    </w:p>
    <w:p w14:paraId="585CF0D3">
      <w:pPr>
        <w:snapToGrid w:val="0"/>
        <w:spacing w:line="240" w:lineRule="auto"/>
        <w:ind w:firstLine="480" w:firstLineChars="200"/>
        <w:rPr>
          <w:sz w:val="24"/>
          <w:szCs w:val="24"/>
        </w:rPr>
      </w:pPr>
      <w:r>
        <w:rPr>
          <w:rFonts w:hint="eastAsia" w:ascii="宋体" w:hAnsi="宋体" w:cs="宋体"/>
          <w:sz w:val="24"/>
          <w:szCs w:val="24"/>
        </w:rPr>
        <w:t>乙方拟对</w:t>
      </w:r>
      <w:r>
        <w:rPr>
          <w:rFonts w:hint="eastAsia" w:cs="宋体"/>
          <w:sz w:val="24"/>
          <w:szCs w:val="24"/>
        </w:rPr>
        <w:t>贵</w:t>
      </w:r>
      <w:r>
        <w:rPr>
          <w:rFonts w:hint="eastAsia" w:ascii="宋体" w:hAnsi="宋体" w:cs="宋体"/>
          <w:sz w:val="24"/>
          <w:szCs w:val="24"/>
        </w:rPr>
        <w:t xml:space="preserve">单位开展绿色节能诊断服务。经甲乙双方初步协商,具体服务内容如下: </w:t>
      </w:r>
    </w:p>
    <w:p w14:paraId="5343A9EA">
      <w:pPr>
        <w:pStyle w:val="2"/>
        <w:numPr>
          <w:ilvl w:val="0"/>
          <w:numId w:val="38"/>
        </w:numPr>
        <w:snapToGrid w:val="0"/>
        <w:spacing w:before="0" w:after="0" w:line="240" w:lineRule="auto"/>
        <w:ind w:left="902" w:hanging="902"/>
        <w:textAlignment w:val="baseline"/>
        <w:rPr>
          <w:w w:val="99"/>
          <w:sz w:val="28"/>
          <w:szCs w:val="28"/>
        </w:rPr>
      </w:pPr>
      <w:r>
        <w:rPr>
          <w:sz w:val="28"/>
          <w:szCs w:val="28"/>
        </w:rPr>
        <w:t>服务内容</w:t>
      </w:r>
      <w:r>
        <w:rPr>
          <w:w w:val="99"/>
          <w:sz w:val="28"/>
          <w:szCs w:val="28"/>
        </w:rPr>
        <w:t xml:space="preserve"> </w:t>
      </w:r>
    </w:p>
    <w:p w14:paraId="666D7C0E">
      <w:pPr>
        <w:snapToGrid w:val="0"/>
        <w:spacing w:line="240" w:lineRule="auto"/>
        <w:ind w:firstLine="480" w:firstLineChars="200"/>
        <w:rPr>
          <w:rFonts w:ascii="宋体" w:hAnsi="宋体" w:cs="宋体"/>
          <w:sz w:val="24"/>
          <w:szCs w:val="24"/>
        </w:rPr>
      </w:pPr>
      <w:r>
        <w:rPr>
          <w:rFonts w:hint="eastAsia" w:ascii="宋体" w:hAnsi="宋体" w:cs="宋体"/>
          <w:sz w:val="24"/>
          <w:szCs w:val="24"/>
        </w:rPr>
        <w:t xml:space="preserve">按照地方标准《工业企业绿色诊断指南》，明确诊断服务内容及相关工作要求： </w:t>
      </w:r>
    </w:p>
    <w:p w14:paraId="113D04CF">
      <w:pPr>
        <w:pStyle w:val="233"/>
        <w:numPr>
          <w:ilvl w:val="0"/>
          <w:numId w:val="39"/>
        </w:numPr>
        <w:tabs>
          <w:tab w:val="left" w:pos="1384"/>
        </w:tabs>
        <w:autoSpaceDE w:val="0"/>
        <w:autoSpaceDN w:val="0"/>
        <w:snapToGrid w:val="0"/>
        <w:ind w:right="117" w:firstLine="559" w:firstLineChars="0"/>
        <w:jc w:val="left"/>
        <w:textAlignment w:val="baseline"/>
        <w:rPr>
          <w:sz w:val="24"/>
          <w:szCs w:val="22"/>
        </w:rPr>
      </w:pPr>
      <w:r>
        <w:rPr>
          <w:spacing w:val="-9"/>
          <w:sz w:val="24"/>
          <w:szCs w:val="22"/>
        </w:rPr>
        <w:t>按照甲方能源管理基础实际情况，由乙方针对甲方所属“</w:t>
      </w:r>
      <w:r>
        <w:rPr>
          <w:rFonts w:hint="eastAsia"/>
          <w:spacing w:val="-9"/>
          <w:sz w:val="24"/>
          <w:szCs w:val="22"/>
        </w:rPr>
        <w:t>能源体系、能耗设备及用能系统</w:t>
      </w:r>
      <w:r>
        <w:rPr>
          <w:spacing w:val="-9"/>
          <w:sz w:val="24"/>
          <w:szCs w:val="22"/>
        </w:rPr>
        <w:t>”</w:t>
      </w:r>
      <w:r>
        <w:rPr>
          <w:spacing w:val="-3"/>
          <w:sz w:val="24"/>
          <w:szCs w:val="22"/>
        </w:rPr>
        <w:t xml:space="preserve">提供免费公益性节能诊断服务。 </w:t>
      </w:r>
    </w:p>
    <w:p w14:paraId="6CEE4194">
      <w:pPr>
        <w:pStyle w:val="233"/>
        <w:numPr>
          <w:ilvl w:val="0"/>
          <w:numId w:val="39"/>
        </w:numPr>
        <w:tabs>
          <w:tab w:val="left" w:pos="1387"/>
        </w:tabs>
        <w:autoSpaceDE w:val="0"/>
        <w:autoSpaceDN w:val="0"/>
        <w:snapToGrid w:val="0"/>
        <w:ind w:right="258" w:firstLine="559" w:firstLineChars="0"/>
        <w:jc w:val="left"/>
        <w:textAlignment w:val="baseline"/>
        <w:rPr>
          <w:sz w:val="24"/>
          <w:szCs w:val="22"/>
        </w:rPr>
      </w:pPr>
      <w:r>
        <w:rPr>
          <w:spacing w:val="-1"/>
          <w:sz w:val="24"/>
          <w:szCs w:val="22"/>
        </w:rPr>
        <w:t>乙方为甲方实施的</w:t>
      </w:r>
      <w:r>
        <w:rPr>
          <w:rFonts w:hint="eastAsia"/>
          <w:spacing w:val="-1"/>
          <w:sz w:val="24"/>
          <w:szCs w:val="22"/>
        </w:rPr>
        <w:t>绿色</w:t>
      </w:r>
      <w:r>
        <w:rPr>
          <w:spacing w:val="-1"/>
          <w:sz w:val="24"/>
          <w:szCs w:val="22"/>
        </w:rPr>
        <w:t>诊断服务，</w:t>
      </w:r>
      <w:r>
        <w:rPr>
          <w:spacing w:val="-3"/>
          <w:sz w:val="24"/>
          <w:szCs w:val="22"/>
        </w:rPr>
        <w:t>并提交相关材料</w:t>
      </w:r>
      <w:r>
        <w:rPr>
          <w:rFonts w:hint="eastAsia"/>
          <w:spacing w:val="-3"/>
          <w:sz w:val="24"/>
          <w:szCs w:val="22"/>
        </w:rPr>
        <w:t>。</w:t>
      </w:r>
    </w:p>
    <w:p w14:paraId="0B56B671">
      <w:pPr>
        <w:pStyle w:val="233"/>
        <w:numPr>
          <w:ilvl w:val="0"/>
          <w:numId w:val="39"/>
        </w:numPr>
        <w:tabs>
          <w:tab w:val="left" w:pos="1387"/>
        </w:tabs>
        <w:autoSpaceDE w:val="0"/>
        <w:autoSpaceDN w:val="0"/>
        <w:snapToGrid w:val="0"/>
        <w:ind w:right="258" w:firstLine="559" w:firstLineChars="0"/>
        <w:jc w:val="left"/>
        <w:textAlignment w:val="baseline"/>
        <w:rPr>
          <w:sz w:val="24"/>
          <w:szCs w:val="22"/>
        </w:rPr>
      </w:pPr>
      <w:r>
        <w:rPr>
          <w:rFonts w:hint="eastAsia"/>
          <w:spacing w:val="-1"/>
          <w:sz w:val="24"/>
          <w:szCs w:val="22"/>
        </w:rPr>
        <w:t>在甲方同意的前提下，</w:t>
      </w:r>
      <w:r>
        <w:rPr>
          <w:spacing w:val="-1"/>
          <w:sz w:val="24"/>
          <w:szCs w:val="22"/>
        </w:rPr>
        <w:t>双方配合做好</w:t>
      </w:r>
      <w:r>
        <w:rPr>
          <w:rFonts w:hint="eastAsia"/>
          <w:spacing w:val="-1"/>
          <w:sz w:val="24"/>
          <w:szCs w:val="22"/>
        </w:rPr>
        <w:t>绿色</w:t>
      </w:r>
      <w:r>
        <w:rPr>
          <w:spacing w:val="-1"/>
          <w:sz w:val="24"/>
          <w:szCs w:val="22"/>
        </w:rPr>
        <w:t>诊断服务的验收和典型</w:t>
      </w:r>
      <w:r>
        <w:rPr>
          <w:spacing w:val="-3"/>
          <w:sz w:val="24"/>
          <w:szCs w:val="22"/>
        </w:rPr>
        <w:t>案例对外宣传工作</w:t>
      </w:r>
      <w:r>
        <w:rPr>
          <w:rFonts w:hint="eastAsia"/>
          <w:spacing w:val="-3"/>
          <w:sz w:val="24"/>
          <w:szCs w:val="22"/>
        </w:rPr>
        <w:t>。</w:t>
      </w:r>
      <w:r>
        <w:rPr>
          <w:spacing w:val="-3"/>
          <w:sz w:val="24"/>
          <w:szCs w:val="22"/>
        </w:rPr>
        <w:t xml:space="preserve"> </w:t>
      </w:r>
    </w:p>
    <w:p w14:paraId="04C96E8D">
      <w:pPr>
        <w:pStyle w:val="233"/>
        <w:numPr>
          <w:ilvl w:val="0"/>
          <w:numId w:val="39"/>
        </w:numPr>
        <w:tabs>
          <w:tab w:val="left" w:pos="1384"/>
        </w:tabs>
        <w:autoSpaceDE w:val="0"/>
        <w:autoSpaceDN w:val="0"/>
        <w:snapToGrid w:val="0"/>
        <w:ind w:right="722" w:firstLine="559" w:firstLineChars="0"/>
        <w:jc w:val="left"/>
        <w:textAlignment w:val="baseline"/>
        <w:rPr>
          <w:b/>
          <w:sz w:val="28"/>
        </w:rPr>
      </w:pPr>
      <w:r>
        <w:rPr>
          <w:spacing w:val="-3"/>
          <w:sz w:val="24"/>
          <w:szCs w:val="22"/>
        </w:rPr>
        <w:t>超出本合同约定之外服务内的容，由双方另行约定。</w:t>
      </w:r>
    </w:p>
    <w:p w14:paraId="18A1C147">
      <w:pPr>
        <w:pStyle w:val="2"/>
        <w:numPr>
          <w:ilvl w:val="0"/>
          <w:numId w:val="38"/>
        </w:numPr>
        <w:snapToGrid w:val="0"/>
        <w:spacing w:before="0" w:after="0" w:line="240" w:lineRule="auto"/>
        <w:ind w:left="902" w:hanging="902"/>
        <w:textAlignment w:val="baseline"/>
        <w:rPr>
          <w:sz w:val="28"/>
          <w:szCs w:val="28"/>
        </w:rPr>
      </w:pPr>
      <w:r>
        <w:rPr>
          <w:sz w:val="28"/>
          <w:szCs w:val="28"/>
        </w:rPr>
        <w:t xml:space="preserve">进度要求 </w:t>
      </w:r>
    </w:p>
    <w:p w14:paraId="10808B6D">
      <w:pPr>
        <w:pStyle w:val="233"/>
        <w:numPr>
          <w:ilvl w:val="0"/>
          <w:numId w:val="40"/>
        </w:numPr>
        <w:tabs>
          <w:tab w:val="left" w:pos="1384"/>
        </w:tabs>
        <w:autoSpaceDE w:val="0"/>
        <w:autoSpaceDN w:val="0"/>
        <w:snapToGrid w:val="0"/>
        <w:ind w:right="117" w:firstLine="608" w:firstLineChars="0"/>
        <w:jc w:val="left"/>
        <w:textAlignment w:val="baseline"/>
        <w:rPr>
          <w:spacing w:val="-9"/>
          <w:sz w:val="24"/>
          <w:szCs w:val="22"/>
        </w:rPr>
      </w:pPr>
      <w:r>
        <w:rPr>
          <w:rFonts w:hint="eastAsia"/>
          <w:spacing w:val="-9"/>
          <w:sz w:val="24"/>
          <w:szCs w:val="22"/>
        </w:rPr>
        <w:t>20</w:t>
      </w:r>
      <w:bookmarkStart w:id="106" w:name="_Hlk214463092"/>
      <w:r>
        <w:rPr>
          <w:spacing w:val="-9"/>
          <w:sz w:val="24"/>
          <w:szCs w:val="22"/>
        </w:rPr>
        <w:t>XX</w:t>
      </w:r>
      <w:r>
        <w:rPr>
          <w:rFonts w:hint="eastAsia"/>
          <w:spacing w:val="-9"/>
          <w:sz w:val="24"/>
          <w:szCs w:val="22"/>
        </w:rPr>
        <w:t>年</w:t>
      </w:r>
      <w:r>
        <w:rPr>
          <w:spacing w:val="-9"/>
          <w:sz w:val="24"/>
          <w:szCs w:val="22"/>
        </w:rPr>
        <w:t>XX</w:t>
      </w:r>
      <w:r>
        <w:rPr>
          <w:rFonts w:hint="eastAsia"/>
          <w:spacing w:val="-9"/>
          <w:sz w:val="24"/>
          <w:szCs w:val="22"/>
        </w:rPr>
        <w:t>月X</w:t>
      </w:r>
      <w:r>
        <w:rPr>
          <w:spacing w:val="-9"/>
          <w:sz w:val="24"/>
          <w:szCs w:val="22"/>
        </w:rPr>
        <w:t>X</w:t>
      </w:r>
      <w:r>
        <w:rPr>
          <w:rFonts w:hint="eastAsia"/>
          <w:spacing w:val="-9"/>
          <w:sz w:val="24"/>
          <w:szCs w:val="22"/>
        </w:rPr>
        <w:t>日</w:t>
      </w:r>
      <w:bookmarkEnd w:id="106"/>
      <w:r>
        <w:rPr>
          <w:rFonts w:hint="eastAsia"/>
          <w:spacing w:val="-9"/>
          <w:sz w:val="24"/>
          <w:szCs w:val="22"/>
        </w:rPr>
        <w:t xml:space="preserve">，甲方配合乙方完成现场调研和相关资料收集； </w:t>
      </w:r>
    </w:p>
    <w:p w14:paraId="2E7184C7">
      <w:pPr>
        <w:pStyle w:val="233"/>
        <w:numPr>
          <w:ilvl w:val="0"/>
          <w:numId w:val="40"/>
        </w:numPr>
        <w:tabs>
          <w:tab w:val="left" w:pos="1384"/>
        </w:tabs>
        <w:autoSpaceDE w:val="0"/>
        <w:autoSpaceDN w:val="0"/>
        <w:snapToGrid w:val="0"/>
        <w:ind w:right="117" w:firstLine="559" w:firstLineChars="0"/>
        <w:jc w:val="left"/>
        <w:textAlignment w:val="baseline"/>
        <w:rPr>
          <w:spacing w:val="-9"/>
          <w:sz w:val="24"/>
          <w:szCs w:val="22"/>
        </w:rPr>
      </w:pPr>
      <w:r>
        <w:rPr>
          <w:rFonts w:hint="eastAsia"/>
          <w:spacing w:val="-9"/>
          <w:sz w:val="24"/>
          <w:szCs w:val="22"/>
        </w:rPr>
        <w:t>20</w:t>
      </w:r>
      <w:r>
        <w:rPr>
          <w:spacing w:val="-9"/>
          <w:sz w:val="24"/>
          <w:szCs w:val="22"/>
        </w:rPr>
        <w:t xml:space="preserve"> XX</w:t>
      </w:r>
      <w:r>
        <w:rPr>
          <w:rFonts w:hint="eastAsia"/>
          <w:spacing w:val="-9"/>
          <w:sz w:val="24"/>
          <w:szCs w:val="22"/>
        </w:rPr>
        <w:t>年</w:t>
      </w:r>
      <w:r>
        <w:rPr>
          <w:spacing w:val="-9"/>
          <w:sz w:val="24"/>
          <w:szCs w:val="22"/>
        </w:rPr>
        <w:t>XX</w:t>
      </w:r>
      <w:r>
        <w:rPr>
          <w:rFonts w:hint="eastAsia"/>
          <w:spacing w:val="-9"/>
          <w:sz w:val="24"/>
          <w:szCs w:val="22"/>
        </w:rPr>
        <w:t>月X</w:t>
      </w:r>
      <w:r>
        <w:rPr>
          <w:spacing w:val="-9"/>
          <w:sz w:val="24"/>
          <w:szCs w:val="22"/>
        </w:rPr>
        <w:t>X</w:t>
      </w:r>
      <w:r>
        <w:rPr>
          <w:rFonts w:hint="eastAsia"/>
          <w:spacing w:val="-9"/>
          <w:sz w:val="24"/>
          <w:szCs w:val="22"/>
        </w:rPr>
        <w:t xml:space="preserve">日，乙方完成相关能耗指标计算与分析，向甲方提交《企业节能诊断报告》初稿； </w:t>
      </w:r>
    </w:p>
    <w:p w14:paraId="53FF9843">
      <w:pPr>
        <w:pStyle w:val="233"/>
        <w:numPr>
          <w:ilvl w:val="0"/>
          <w:numId w:val="40"/>
        </w:numPr>
        <w:tabs>
          <w:tab w:val="left" w:pos="1384"/>
        </w:tabs>
        <w:autoSpaceDE w:val="0"/>
        <w:autoSpaceDN w:val="0"/>
        <w:snapToGrid w:val="0"/>
        <w:ind w:right="117" w:firstLine="559" w:firstLineChars="0"/>
        <w:jc w:val="left"/>
        <w:textAlignment w:val="baseline"/>
        <w:rPr>
          <w:spacing w:val="-9"/>
          <w:sz w:val="24"/>
          <w:szCs w:val="22"/>
        </w:rPr>
      </w:pPr>
      <w:r>
        <w:rPr>
          <w:rFonts w:hint="eastAsia"/>
          <w:spacing w:val="-9"/>
          <w:sz w:val="24"/>
          <w:szCs w:val="22"/>
        </w:rPr>
        <w:t>20</w:t>
      </w:r>
      <w:r>
        <w:rPr>
          <w:spacing w:val="-9"/>
          <w:sz w:val="24"/>
          <w:szCs w:val="22"/>
        </w:rPr>
        <w:t xml:space="preserve"> XX</w:t>
      </w:r>
      <w:r>
        <w:rPr>
          <w:rFonts w:hint="eastAsia"/>
          <w:spacing w:val="-9"/>
          <w:sz w:val="24"/>
          <w:szCs w:val="22"/>
        </w:rPr>
        <w:t>年</w:t>
      </w:r>
      <w:r>
        <w:rPr>
          <w:spacing w:val="-9"/>
          <w:sz w:val="24"/>
          <w:szCs w:val="22"/>
        </w:rPr>
        <w:t>XX</w:t>
      </w:r>
      <w:r>
        <w:rPr>
          <w:rFonts w:hint="eastAsia"/>
          <w:spacing w:val="-9"/>
          <w:sz w:val="24"/>
          <w:szCs w:val="22"/>
        </w:rPr>
        <w:t>月X</w:t>
      </w:r>
      <w:r>
        <w:rPr>
          <w:spacing w:val="-9"/>
          <w:sz w:val="24"/>
          <w:szCs w:val="22"/>
        </w:rPr>
        <w:t>X</w:t>
      </w:r>
      <w:r>
        <w:rPr>
          <w:rFonts w:hint="eastAsia"/>
          <w:spacing w:val="-9"/>
          <w:sz w:val="24"/>
          <w:szCs w:val="22"/>
        </w:rPr>
        <w:t xml:space="preserve">日，经双方讨论确定《工业企业绿色诊断报告》定稿病提交。 </w:t>
      </w:r>
    </w:p>
    <w:p w14:paraId="6B3EF30C">
      <w:pPr>
        <w:pStyle w:val="2"/>
        <w:numPr>
          <w:ilvl w:val="0"/>
          <w:numId w:val="38"/>
        </w:numPr>
        <w:snapToGrid w:val="0"/>
        <w:spacing w:before="0" w:after="0" w:line="240" w:lineRule="auto"/>
        <w:ind w:left="902" w:hanging="902"/>
        <w:textAlignment w:val="baseline"/>
        <w:rPr>
          <w:sz w:val="26"/>
        </w:rPr>
      </w:pPr>
      <w:r>
        <w:rPr>
          <w:sz w:val="28"/>
          <w:szCs w:val="28"/>
        </w:rPr>
        <w:t xml:space="preserve">预期成果和效益 </w:t>
      </w:r>
    </w:p>
    <w:p w14:paraId="68FF06F9">
      <w:pPr>
        <w:pStyle w:val="233"/>
        <w:numPr>
          <w:ilvl w:val="0"/>
          <w:numId w:val="41"/>
        </w:numPr>
        <w:tabs>
          <w:tab w:val="left" w:pos="1387"/>
        </w:tabs>
        <w:autoSpaceDE w:val="0"/>
        <w:autoSpaceDN w:val="0"/>
        <w:snapToGrid w:val="0"/>
        <w:ind w:right="258" w:firstLine="559" w:firstLineChars="0"/>
        <w:jc w:val="left"/>
        <w:textAlignment w:val="baseline"/>
        <w:rPr>
          <w:sz w:val="24"/>
          <w:szCs w:val="22"/>
        </w:rPr>
      </w:pPr>
      <w:r>
        <w:rPr>
          <w:spacing w:val="-1"/>
          <w:sz w:val="24"/>
          <w:szCs w:val="22"/>
        </w:rPr>
        <w:t>乙方完成合同规定的</w:t>
      </w:r>
      <w:r>
        <w:rPr>
          <w:rFonts w:hint="eastAsia"/>
          <w:spacing w:val="-1"/>
          <w:sz w:val="24"/>
          <w:szCs w:val="22"/>
        </w:rPr>
        <w:t>绿色</w:t>
      </w:r>
      <w:r>
        <w:rPr>
          <w:spacing w:val="-1"/>
          <w:sz w:val="24"/>
          <w:szCs w:val="22"/>
        </w:rPr>
        <w:t>诊断服务任务，最终形</w:t>
      </w:r>
      <w:r>
        <w:rPr>
          <w:spacing w:val="-3"/>
          <w:sz w:val="24"/>
          <w:szCs w:val="22"/>
        </w:rPr>
        <w:t>成并向甲方提交《</w:t>
      </w:r>
      <w:r>
        <w:rPr>
          <w:rFonts w:hint="eastAsia"/>
          <w:spacing w:val="-3"/>
          <w:sz w:val="24"/>
          <w:szCs w:val="22"/>
        </w:rPr>
        <w:t>工业</w:t>
      </w:r>
      <w:r>
        <w:rPr>
          <w:spacing w:val="-3"/>
          <w:sz w:val="24"/>
          <w:szCs w:val="22"/>
        </w:rPr>
        <w:t>企业</w:t>
      </w:r>
      <w:r>
        <w:rPr>
          <w:rFonts w:hint="eastAsia"/>
          <w:spacing w:val="-3"/>
          <w:sz w:val="24"/>
          <w:szCs w:val="22"/>
        </w:rPr>
        <w:t>绿色</w:t>
      </w:r>
      <w:r>
        <w:rPr>
          <w:spacing w:val="-3"/>
          <w:sz w:val="24"/>
          <w:szCs w:val="22"/>
        </w:rPr>
        <w:t xml:space="preserve">诊断报告》。 </w:t>
      </w:r>
    </w:p>
    <w:p w14:paraId="1ABB62CA">
      <w:pPr>
        <w:pStyle w:val="233"/>
        <w:numPr>
          <w:ilvl w:val="0"/>
          <w:numId w:val="41"/>
        </w:numPr>
        <w:tabs>
          <w:tab w:val="left" w:pos="1387"/>
        </w:tabs>
        <w:autoSpaceDE w:val="0"/>
        <w:autoSpaceDN w:val="0"/>
        <w:snapToGrid w:val="0"/>
        <w:ind w:right="257" w:firstLine="559" w:firstLineChars="0"/>
        <w:jc w:val="left"/>
        <w:textAlignment w:val="baseline"/>
        <w:rPr>
          <w:sz w:val="24"/>
          <w:szCs w:val="22"/>
        </w:rPr>
      </w:pPr>
      <w:r>
        <w:rPr>
          <w:spacing w:val="-1"/>
          <w:sz w:val="24"/>
          <w:szCs w:val="22"/>
        </w:rPr>
        <w:t>甲方及时对《企业节能诊断报告》进行审核修改，并对该报告给予确认加盖企业公章，交由乙方存档</w:t>
      </w:r>
      <w:r>
        <w:rPr>
          <w:rFonts w:hint="eastAsia"/>
          <w:spacing w:val="-9"/>
          <w:sz w:val="24"/>
          <w:szCs w:val="22"/>
        </w:rPr>
        <w:t>，至</w:t>
      </w:r>
      <w:r>
        <w:rPr>
          <w:spacing w:val="-1"/>
          <w:sz w:val="24"/>
          <w:szCs w:val="22"/>
        </w:rPr>
        <w:t>此</w:t>
      </w:r>
      <w:r>
        <w:rPr>
          <w:rFonts w:hint="eastAsia"/>
          <w:spacing w:val="-1"/>
          <w:sz w:val="24"/>
          <w:szCs w:val="22"/>
        </w:rPr>
        <w:t>绿色</w:t>
      </w:r>
      <w:r>
        <w:rPr>
          <w:spacing w:val="-1"/>
          <w:sz w:val="24"/>
          <w:szCs w:val="22"/>
        </w:rPr>
        <w:t>诊断服务任务</w:t>
      </w:r>
      <w:r>
        <w:rPr>
          <w:rFonts w:hint="eastAsia"/>
          <w:spacing w:val="-1"/>
          <w:sz w:val="24"/>
          <w:szCs w:val="22"/>
        </w:rPr>
        <w:t>完成</w:t>
      </w:r>
      <w:r>
        <w:rPr>
          <w:spacing w:val="-3"/>
          <w:sz w:val="24"/>
          <w:szCs w:val="22"/>
        </w:rPr>
        <w:t xml:space="preserve">。 </w:t>
      </w:r>
    </w:p>
    <w:p w14:paraId="4E52E53D">
      <w:pPr>
        <w:pStyle w:val="2"/>
        <w:numPr>
          <w:ilvl w:val="0"/>
          <w:numId w:val="38"/>
        </w:numPr>
        <w:snapToGrid w:val="0"/>
        <w:spacing w:before="0" w:after="0" w:line="240" w:lineRule="auto"/>
        <w:ind w:left="902" w:hanging="902"/>
        <w:textAlignment w:val="baseline"/>
        <w:rPr>
          <w:sz w:val="26"/>
        </w:rPr>
      </w:pPr>
      <w:r>
        <w:rPr>
          <w:sz w:val="28"/>
          <w:szCs w:val="28"/>
        </w:rPr>
        <w:t xml:space="preserve">双方权责 </w:t>
      </w:r>
    </w:p>
    <w:p w14:paraId="5D313178">
      <w:pPr>
        <w:pStyle w:val="233"/>
        <w:numPr>
          <w:ilvl w:val="0"/>
          <w:numId w:val="42"/>
        </w:numPr>
        <w:tabs>
          <w:tab w:val="left" w:pos="1387"/>
        </w:tabs>
        <w:autoSpaceDE w:val="0"/>
        <w:autoSpaceDN w:val="0"/>
        <w:snapToGrid w:val="0"/>
        <w:ind w:right="258" w:firstLine="559" w:firstLineChars="0"/>
        <w:textAlignment w:val="baseline"/>
        <w:rPr>
          <w:sz w:val="24"/>
          <w:szCs w:val="22"/>
        </w:rPr>
      </w:pPr>
      <w:r>
        <w:rPr>
          <w:sz w:val="24"/>
          <w:szCs w:val="22"/>
        </w:rPr>
        <w:t>甲方向乙方提供节能诊断服务所必需的基础资料（</w:t>
      </w:r>
      <w:r>
        <w:rPr>
          <w:spacing w:val="-5"/>
          <w:sz w:val="24"/>
          <w:szCs w:val="22"/>
        </w:rPr>
        <w:t>乙方提</w:t>
      </w:r>
      <w:r>
        <w:rPr>
          <w:spacing w:val="-2"/>
          <w:sz w:val="24"/>
          <w:szCs w:val="22"/>
        </w:rPr>
        <w:t>供资料需求清单</w:t>
      </w:r>
      <w:r>
        <w:rPr>
          <w:spacing w:val="-33"/>
          <w:sz w:val="24"/>
          <w:szCs w:val="22"/>
        </w:rPr>
        <w:t>）</w:t>
      </w:r>
      <w:r>
        <w:rPr>
          <w:spacing w:val="-10"/>
          <w:sz w:val="24"/>
          <w:szCs w:val="22"/>
        </w:rPr>
        <w:t>，并保证向乙方提供数据和材料的真实性；甲方协</w:t>
      </w:r>
      <w:r>
        <w:rPr>
          <w:spacing w:val="-3"/>
          <w:sz w:val="24"/>
          <w:szCs w:val="22"/>
        </w:rPr>
        <w:t xml:space="preserve">助乙方完成现场调研，并提供厂区内的交通、办公便利。 </w:t>
      </w:r>
    </w:p>
    <w:p w14:paraId="4343C067">
      <w:pPr>
        <w:pStyle w:val="233"/>
        <w:numPr>
          <w:ilvl w:val="0"/>
          <w:numId w:val="42"/>
        </w:numPr>
        <w:tabs>
          <w:tab w:val="left" w:pos="1387"/>
        </w:tabs>
        <w:autoSpaceDE w:val="0"/>
        <w:autoSpaceDN w:val="0"/>
        <w:snapToGrid w:val="0"/>
        <w:ind w:right="115" w:firstLine="559" w:firstLineChars="0"/>
        <w:jc w:val="left"/>
        <w:textAlignment w:val="baseline"/>
        <w:rPr>
          <w:sz w:val="24"/>
          <w:szCs w:val="22"/>
        </w:rPr>
      </w:pPr>
      <w:r>
        <w:rPr>
          <w:sz w:val="24"/>
          <w:szCs w:val="22"/>
        </w:rPr>
        <w:t>乙方对甲方进行现场调研掌握相关数据，与甲方确定</w:t>
      </w:r>
      <w:r>
        <w:rPr>
          <w:rFonts w:hint="eastAsia"/>
          <w:sz w:val="24"/>
          <w:szCs w:val="22"/>
        </w:rPr>
        <w:t>绿色</w:t>
      </w:r>
      <w:r>
        <w:rPr>
          <w:spacing w:val="-6"/>
          <w:sz w:val="24"/>
          <w:szCs w:val="22"/>
        </w:rPr>
        <w:t>诊断服务的范围、计划等事宜，完成</w:t>
      </w:r>
      <w:r>
        <w:rPr>
          <w:rFonts w:hint="eastAsia"/>
          <w:spacing w:val="-6"/>
          <w:sz w:val="24"/>
          <w:szCs w:val="22"/>
        </w:rPr>
        <w:t>绿色</w:t>
      </w:r>
      <w:r>
        <w:rPr>
          <w:spacing w:val="-6"/>
          <w:sz w:val="24"/>
          <w:szCs w:val="22"/>
        </w:rPr>
        <w:t>诊断分析并出具</w:t>
      </w:r>
      <w:r>
        <w:rPr>
          <w:rFonts w:hint="eastAsia"/>
          <w:spacing w:val="-6"/>
          <w:sz w:val="24"/>
          <w:szCs w:val="22"/>
        </w:rPr>
        <w:t>诊断</w:t>
      </w:r>
      <w:r>
        <w:rPr>
          <w:spacing w:val="-6"/>
          <w:sz w:val="24"/>
          <w:szCs w:val="22"/>
        </w:rPr>
        <w:t>报告。</w:t>
      </w:r>
      <w:r>
        <w:rPr>
          <w:sz w:val="24"/>
          <w:szCs w:val="22"/>
        </w:rPr>
        <w:t xml:space="preserve"> </w:t>
      </w:r>
    </w:p>
    <w:p w14:paraId="3EB17D4B">
      <w:pPr>
        <w:pStyle w:val="2"/>
        <w:numPr>
          <w:ilvl w:val="0"/>
          <w:numId w:val="38"/>
        </w:numPr>
        <w:snapToGrid w:val="0"/>
        <w:spacing w:before="0" w:after="0" w:line="240" w:lineRule="auto"/>
        <w:ind w:left="902" w:hanging="902"/>
        <w:textAlignment w:val="baseline"/>
        <w:rPr>
          <w:sz w:val="26"/>
        </w:rPr>
      </w:pPr>
      <w:r>
        <w:rPr>
          <w:sz w:val="28"/>
          <w:szCs w:val="28"/>
        </w:rPr>
        <w:t xml:space="preserve">合同变更或补充 </w:t>
      </w:r>
    </w:p>
    <w:p w14:paraId="3A2070E0">
      <w:pPr>
        <w:snapToGrid w:val="0"/>
        <w:spacing w:line="240" w:lineRule="auto"/>
        <w:ind w:firstLine="480" w:firstLineChars="200"/>
        <w:rPr>
          <w:rFonts w:ascii="宋体" w:hAnsi="宋体" w:cs="宋体"/>
          <w:sz w:val="24"/>
          <w:szCs w:val="24"/>
        </w:rPr>
      </w:pPr>
      <w:r>
        <w:rPr>
          <w:rFonts w:ascii="宋体" w:hAnsi="宋体" w:cs="宋体"/>
          <w:sz w:val="24"/>
          <w:szCs w:val="24"/>
        </w:rPr>
        <w:t xml:space="preserve">在合同执行期间，若需对本合同约定内容进行变更或对未尽事宜进行补充的，经双方协商同意后可以签订补充合同或用其它书面附件形式进行约定，且补充合同或附件记录作为本合同不可分割的组成部分与本合同具有相同的法律效力。 </w:t>
      </w:r>
    </w:p>
    <w:p w14:paraId="047D6459">
      <w:pPr>
        <w:pStyle w:val="2"/>
        <w:numPr>
          <w:ilvl w:val="0"/>
          <w:numId w:val="38"/>
        </w:numPr>
        <w:snapToGrid w:val="0"/>
        <w:spacing w:before="0" w:after="0" w:line="240" w:lineRule="auto"/>
        <w:ind w:left="902" w:hanging="902"/>
        <w:textAlignment w:val="baseline"/>
        <w:rPr>
          <w:sz w:val="26"/>
        </w:rPr>
      </w:pPr>
      <w:r>
        <w:rPr>
          <w:sz w:val="28"/>
          <w:szCs w:val="28"/>
        </w:rPr>
        <w:t xml:space="preserve">保密条款 </w:t>
      </w:r>
    </w:p>
    <w:p w14:paraId="597F52DE">
      <w:pPr>
        <w:snapToGrid w:val="0"/>
        <w:spacing w:line="240" w:lineRule="auto"/>
        <w:ind w:firstLine="480" w:firstLineChars="200"/>
        <w:rPr>
          <w:rFonts w:ascii="宋体" w:hAnsi="宋体" w:cs="宋体"/>
          <w:sz w:val="24"/>
          <w:szCs w:val="24"/>
        </w:rPr>
      </w:pPr>
      <w:r>
        <w:rPr>
          <w:rFonts w:ascii="宋体" w:hAnsi="宋体" w:cs="宋体"/>
          <w:sz w:val="24"/>
          <w:szCs w:val="24"/>
        </w:rPr>
        <w:t xml:space="preserve">双方均不得将对方规定的保密信息以任何方式泄露给第三方，当需要根据法律、法规要求向政府主管部门提供保密信息时，应将提供的信息通知对方，除非法律限制。 </w:t>
      </w:r>
    </w:p>
    <w:p w14:paraId="475FA35D">
      <w:pPr>
        <w:pStyle w:val="2"/>
        <w:numPr>
          <w:ilvl w:val="0"/>
          <w:numId w:val="38"/>
        </w:numPr>
        <w:snapToGrid w:val="0"/>
        <w:spacing w:before="0" w:after="0" w:line="240" w:lineRule="auto"/>
        <w:ind w:left="902" w:hanging="902"/>
        <w:textAlignment w:val="baseline"/>
        <w:rPr>
          <w:sz w:val="26"/>
        </w:rPr>
      </w:pPr>
      <w:r>
        <w:rPr>
          <w:sz w:val="28"/>
          <w:szCs w:val="28"/>
        </w:rPr>
        <w:t xml:space="preserve">违约责任 </w:t>
      </w:r>
    </w:p>
    <w:p w14:paraId="3B0B0B0A">
      <w:pPr>
        <w:snapToGrid w:val="0"/>
        <w:spacing w:line="240" w:lineRule="auto"/>
        <w:ind w:firstLine="480" w:firstLineChars="200"/>
        <w:rPr>
          <w:rFonts w:ascii="宋体" w:hAnsi="宋体" w:cs="宋体"/>
          <w:sz w:val="24"/>
          <w:szCs w:val="24"/>
        </w:rPr>
      </w:pPr>
      <w:r>
        <w:rPr>
          <w:rFonts w:ascii="宋体" w:hAnsi="宋体" w:cs="宋体"/>
          <w:sz w:val="24"/>
          <w:szCs w:val="24"/>
        </w:rPr>
        <w:t>若因甲方未能履行本合同的规定而造成甲方未能取得</w:t>
      </w:r>
      <w:r>
        <w:rPr>
          <w:rFonts w:hint="eastAsia" w:ascii="宋体" w:hAnsi="宋体" w:cs="宋体"/>
          <w:sz w:val="24"/>
          <w:szCs w:val="24"/>
        </w:rPr>
        <w:t>诊断</w:t>
      </w:r>
      <w:r>
        <w:rPr>
          <w:rFonts w:ascii="宋体" w:hAnsi="宋体" w:cs="宋体"/>
          <w:sz w:val="24"/>
          <w:szCs w:val="24"/>
        </w:rPr>
        <w:t xml:space="preserve">报告， 乙方对此不负任何责任。 </w:t>
      </w:r>
    </w:p>
    <w:p w14:paraId="31B359D2">
      <w:pPr>
        <w:snapToGrid w:val="0"/>
        <w:spacing w:line="240" w:lineRule="auto"/>
        <w:ind w:firstLine="480" w:firstLineChars="200"/>
        <w:rPr>
          <w:rFonts w:ascii="宋体" w:hAnsi="宋体" w:cs="宋体"/>
          <w:sz w:val="24"/>
          <w:szCs w:val="24"/>
        </w:rPr>
      </w:pPr>
      <w:r>
        <w:rPr>
          <w:rFonts w:ascii="宋体" w:hAnsi="宋体" w:cs="宋体"/>
          <w:sz w:val="24"/>
          <w:szCs w:val="24"/>
        </w:rPr>
        <w:t xml:space="preserve">若因乙方未能履行本合同的规定而造成甲方直接经济损失的，乙方对此承担责任并赔偿。 </w:t>
      </w:r>
    </w:p>
    <w:p w14:paraId="6430CAE8">
      <w:pPr>
        <w:pStyle w:val="2"/>
        <w:numPr>
          <w:ilvl w:val="0"/>
          <w:numId w:val="38"/>
        </w:numPr>
        <w:snapToGrid w:val="0"/>
        <w:spacing w:before="0" w:after="0" w:line="240" w:lineRule="auto"/>
        <w:ind w:left="902" w:hanging="902"/>
        <w:textAlignment w:val="baseline"/>
        <w:rPr>
          <w:sz w:val="26"/>
        </w:rPr>
      </w:pPr>
      <w:r>
        <w:rPr>
          <w:sz w:val="28"/>
          <w:szCs w:val="28"/>
        </w:rPr>
        <w:t xml:space="preserve">争议的解决办法 </w:t>
      </w:r>
    </w:p>
    <w:p w14:paraId="3EE5219D">
      <w:pPr>
        <w:snapToGrid w:val="0"/>
        <w:spacing w:line="240" w:lineRule="auto"/>
        <w:ind w:firstLine="480" w:firstLineChars="200"/>
        <w:rPr>
          <w:rFonts w:ascii="宋体" w:hAnsi="宋体" w:cs="宋体"/>
          <w:sz w:val="24"/>
          <w:szCs w:val="24"/>
        </w:rPr>
      </w:pPr>
      <w:r>
        <w:rPr>
          <w:rFonts w:ascii="宋体" w:hAnsi="宋体" w:cs="宋体"/>
          <w:sz w:val="24"/>
          <w:szCs w:val="24"/>
        </w:rPr>
        <w:t xml:space="preserve">本合同的争议应由双方本着友好协商的原则解决，当合同需要更改或解除时，双方应订立变更条款或协议，协商不成的双方均有权向武汉仲裁委员会提起仲裁。 </w:t>
      </w:r>
    </w:p>
    <w:p w14:paraId="07CC6D58">
      <w:pPr>
        <w:pStyle w:val="2"/>
        <w:numPr>
          <w:ilvl w:val="0"/>
          <w:numId w:val="38"/>
        </w:numPr>
        <w:snapToGrid w:val="0"/>
        <w:spacing w:before="0" w:after="0" w:line="240" w:lineRule="auto"/>
        <w:ind w:left="902" w:hanging="902"/>
        <w:textAlignment w:val="baseline"/>
        <w:rPr>
          <w:sz w:val="26"/>
        </w:rPr>
      </w:pPr>
      <w:r>
        <w:rPr>
          <w:sz w:val="28"/>
          <w:szCs w:val="28"/>
        </w:rPr>
        <w:t xml:space="preserve">其他 </w:t>
      </w:r>
    </w:p>
    <w:p w14:paraId="488B7ED8">
      <w:pPr>
        <w:snapToGrid w:val="0"/>
        <w:spacing w:line="240" w:lineRule="auto"/>
        <w:ind w:firstLine="480" w:firstLineChars="200"/>
        <w:rPr>
          <w:rFonts w:ascii="宋体" w:hAnsi="宋体" w:cs="宋体"/>
          <w:sz w:val="24"/>
          <w:szCs w:val="24"/>
        </w:rPr>
      </w:pPr>
      <w:r>
        <w:rPr>
          <w:rFonts w:ascii="宋体" w:hAnsi="宋体" w:cs="宋体"/>
          <w:sz w:val="24"/>
          <w:szCs w:val="24"/>
        </w:rPr>
        <w:t>本合同一式肆份，双方各存贰份，具有同等效力。本合同自签字之日起生效，有效期至项目验收完成。双方机构、人事等变动均不影响应</w:t>
      </w:r>
      <w:r>
        <w:rPr>
          <w:rFonts w:hint="eastAsia" w:ascii="宋体" w:hAnsi="宋体" w:cs="宋体"/>
          <w:sz w:val="24"/>
          <w:szCs w:val="24"/>
        </w:rPr>
        <w:t>所</w:t>
      </w:r>
      <w:r>
        <w:rPr>
          <w:rFonts w:ascii="宋体" w:hAnsi="宋体" w:cs="宋体"/>
          <w:sz w:val="24"/>
          <w:szCs w:val="24"/>
        </w:rPr>
        <w:t xml:space="preserve">负的法律责任。 </w:t>
      </w:r>
    </w:p>
    <w:p w14:paraId="2A8DEEF3">
      <w:pPr>
        <w:pStyle w:val="13"/>
        <w:snapToGrid w:val="0"/>
        <w:spacing w:after="0" w:line="240" w:lineRule="auto"/>
        <w:ind w:right="439"/>
        <w:textAlignment w:val="baseline"/>
        <w:rPr>
          <w:spacing w:val="-3"/>
        </w:rPr>
      </w:pPr>
    </w:p>
    <w:p w14:paraId="2214A8E3">
      <w:pPr>
        <w:pStyle w:val="13"/>
        <w:snapToGrid w:val="0"/>
        <w:spacing w:after="0" w:line="240" w:lineRule="auto"/>
        <w:ind w:right="439"/>
        <w:textAlignment w:val="baseline"/>
        <w:rPr>
          <w:spacing w:val="-3"/>
          <w:u w:val="single"/>
        </w:rPr>
      </w:pPr>
      <w:r>
        <w:rPr>
          <w:rFonts w:hint="eastAsia"/>
          <w:spacing w:val="-3"/>
          <w:u w:val="single" w:color="000000"/>
        </w:rPr>
        <w:t>（此页无正文）</w:t>
      </w:r>
    </w:p>
    <w:p w14:paraId="0D9FC052">
      <w:pPr>
        <w:pStyle w:val="13"/>
        <w:snapToGrid w:val="0"/>
        <w:spacing w:after="0" w:line="240" w:lineRule="auto"/>
        <w:ind w:right="439"/>
        <w:textAlignment w:val="baseline"/>
        <w:rPr>
          <w:spacing w:val="-3"/>
          <w:u w:val="single"/>
        </w:rPr>
      </w:pPr>
    </w:p>
    <w:p w14:paraId="44A1B193">
      <w:pPr>
        <w:pStyle w:val="13"/>
        <w:snapToGrid w:val="0"/>
        <w:spacing w:after="0" w:line="240" w:lineRule="auto"/>
        <w:ind w:right="439"/>
        <w:textAlignment w:val="baseline"/>
        <w:rPr>
          <w:spacing w:val="-3"/>
          <w:u w:val="single"/>
        </w:rPr>
      </w:pPr>
    </w:p>
    <w:p w14:paraId="0A263F8E">
      <w:pPr>
        <w:pStyle w:val="13"/>
        <w:snapToGrid w:val="0"/>
        <w:spacing w:after="0" w:line="240" w:lineRule="auto"/>
        <w:ind w:right="439"/>
        <w:textAlignment w:val="baseline"/>
        <w:rPr>
          <w:spacing w:val="-3"/>
        </w:rPr>
      </w:pPr>
      <w:r>
        <w:rPr>
          <w:spacing w:val="-3"/>
          <w:u w:val="single" w:color="000000"/>
        </w:rPr>
        <w:t xml:space="preserve">甲 方 </w:t>
      </w:r>
      <w:r>
        <w:rPr>
          <w:rFonts w:hint="eastAsia"/>
          <w:spacing w:val="-3"/>
          <w:u w:val="single" w:color="000000"/>
        </w:rPr>
        <w:t>（盖章）</w:t>
      </w:r>
      <w:r>
        <w:rPr>
          <w:spacing w:val="-3"/>
        </w:rPr>
        <w:t xml:space="preserve">：                              </w:t>
      </w:r>
      <w:r>
        <w:rPr>
          <w:spacing w:val="-3"/>
          <w:u w:val="single" w:color="000000"/>
        </w:rPr>
        <w:t>乙 方</w:t>
      </w:r>
      <w:r>
        <w:rPr>
          <w:rFonts w:hint="eastAsia"/>
          <w:spacing w:val="-3"/>
          <w:u w:val="single" w:color="000000"/>
        </w:rPr>
        <w:t>（盖章）</w:t>
      </w:r>
      <w:r>
        <w:rPr>
          <w:spacing w:val="-3"/>
        </w:rPr>
        <w:t xml:space="preserve"> : </w:t>
      </w:r>
    </w:p>
    <w:p w14:paraId="7860D451">
      <w:pPr>
        <w:pStyle w:val="13"/>
        <w:snapToGrid w:val="0"/>
        <w:spacing w:after="0" w:line="240" w:lineRule="auto"/>
        <w:ind w:right="439"/>
        <w:textAlignment w:val="baseline"/>
      </w:pPr>
      <w:r>
        <w:rPr>
          <w:spacing w:val="-3"/>
        </w:rPr>
        <w:t xml:space="preserve">法 定 代 表 人 ： </w:t>
      </w:r>
      <w:r>
        <w:rPr>
          <w:rFonts w:hint="eastAsia"/>
          <w:spacing w:val="-3"/>
        </w:rPr>
        <w:t xml:space="preserve">       </w:t>
      </w:r>
      <w:r>
        <w:rPr>
          <w:spacing w:val="-3"/>
        </w:rPr>
        <w:t xml:space="preserve">          </w:t>
      </w:r>
      <w:r>
        <w:rPr>
          <w:rFonts w:hint="eastAsia"/>
          <w:spacing w:val="-3"/>
        </w:rPr>
        <w:t xml:space="preserve">           </w:t>
      </w:r>
      <w:r>
        <w:rPr>
          <w:spacing w:val="-3"/>
        </w:rPr>
        <w:t>法 定 代 表 人 ：</w:t>
      </w:r>
      <w:r>
        <w:t xml:space="preserve"> </w:t>
      </w:r>
    </w:p>
    <w:p w14:paraId="35BE2E4C">
      <w:pPr>
        <w:pStyle w:val="13"/>
        <w:snapToGrid w:val="0"/>
        <w:spacing w:after="0" w:line="240" w:lineRule="auto"/>
        <w:ind w:right="1700"/>
        <w:textAlignment w:val="baseline"/>
      </w:pPr>
      <w:r>
        <w:t xml:space="preserve">联 系 人 </w:t>
      </w:r>
      <w:r>
        <w:rPr>
          <w:rFonts w:hint="eastAsia"/>
        </w:rPr>
        <w:t xml:space="preserve">：                  </w:t>
      </w:r>
      <w:r>
        <w:t xml:space="preserve">         </w:t>
      </w:r>
      <w:r>
        <w:rPr>
          <w:rFonts w:hint="eastAsia"/>
        </w:rPr>
        <w:t xml:space="preserve">      </w:t>
      </w:r>
      <w:r>
        <w:t xml:space="preserve">联 系 人 : </w:t>
      </w:r>
    </w:p>
    <w:p w14:paraId="5C02F1A6">
      <w:pPr>
        <w:pStyle w:val="13"/>
        <w:snapToGrid w:val="0"/>
        <w:spacing w:after="0" w:line="240" w:lineRule="auto"/>
        <w:ind w:right="1700"/>
        <w:textAlignment w:val="baseline"/>
      </w:pPr>
      <w:r>
        <w:t xml:space="preserve">联 系 电 话 ： </w:t>
      </w:r>
      <w:r>
        <w:rPr>
          <w:rFonts w:hint="eastAsia"/>
        </w:rPr>
        <w:t xml:space="preserve">                </w:t>
      </w:r>
      <w:r>
        <w:t xml:space="preserve">         </w:t>
      </w:r>
      <w:r>
        <w:rPr>
          <w:rFonts w:hint="eastAsia"/>
        </w:rPr>
        <w:t xml:space="preserve">    </w:t>
      </w:r>
      <w:r>
        <w:t xml:space="preserve">联 系 电 话 ： </w:t>
      </w:r>
    </w:p>
    <w:p w14:paraId="77FD578D">
      <w:pPr>
        <w:pStyle w:val="13"/>
        <w:snapToGrid w:val="0"/>
        <w:spacing w:after="0" w:line="240" w:lineRule="auto"/>
        <w:ind w:right="439" w:firstLine="612" w:firstLineChars="300"/>
        <w:textAlignment w:val="baseline"/>
        <w:rPr>
          <w:spacing w:val="-3"/>
        </w:rPr>
      </w:pPr>
    </w:p>
    <w:p w14:paraId="4D14ABCA">
      <w:pPr>
        <w:pStyle w:val="13"/>
        <w:snapToGrid w:val="0"/>
        <w:spacing w:after="0" w:line="240" w:lineRule="auto"/>
        <w:ind w:right="439" w:firstLine="612" w:firstLineChars="300"/>
        <w:textAlignment w:val="baseline"/>
        <w:rPr>
          <w:spacing w:val="-3"/>
        </w:rPr>
      </w:pPr>
      <w:r>
        <w:rPr>
          <w:spacing w:val="-3"/>
        </w:rPr>
        <w:t xml:space="preserve">年 </w:t>
      </w:r>
      <w:r>
        <w:rPr>
          <w:rFonts w:hint="eastAsia"/>
          <w:spacing w:val="-3"/>
        </w:rPr>
        <w:t xml:space="preserve"> </w:t>
      </w:r>
      <w:r>
        <w:rPr>
          <w:spacing w:val="-3"/>
        </w:rPr>
        <w:t xml:space="preserve">月 </w:t>
      </w:r>
      <w:r>
        <w:rPr>
          <w:rFonts w:hint="eastAsia"/>
          <w:spacing w:val="-3"/>
        </w:rPr>
        <w:t xml:space="preserve"> </w:t>
      </w:r>
      <w:r>
        <w:rPr>
          <w:spacing w:val="-3"/>
        </w:rPr>
        <w:t xml:space="preserve">日 </w:t>
      </w:r>
      <w:r>
        <w:rPr>
          <w:rFonts w:hint="eastAsia"/>
          <w:spacing w:val="-3"/>
        </w:rPr>
        <w:t xml:space="preserve">                    </w:t>
      </w:r>
      <w:r>
        <w:rPr>
          <w:spacing w:val="-3"/>
        </w:rPr>
        <w:t xml:space="preserve">                  </w:t>
      </w:r>
      <w:r>
        <w:rPr>
          <w:rFonts w:hint="eastAsia"/>
          <w:spacing w:val="-3"/>
        </w:rPr>
        <w:t xml:space="preserve">     </w:t>
      </w:r>
      <w:r>
        <w:rPr>
          <w:spacing w:val="-3"/>
        </w:rPr>
        <w:t xml:space="preserve">年  月 </w:t>
      </w:r>
      <w:r>
        <w:rPr>
          <w:rFonts w:hint="eastAsia"/>
          <w:spacing w:val="-3"/>
        </w:rPr>
        <w:t xml:space="preserve"> </w:t>
      </w:r>
      <w:r>
        <w:rPr>
          <w:spacing w:val="-3"/>
        </w:rPr>
        <w:t xml:space="preserve">日 </w:t>
      </w:r>
    </w:p>
    <w:p w14:paraId="43D66C21">
      <w:pPr>
        <w:spacing w:line="240" w:lineRule="auto"/>
        <w:jc w:val="center"/>
      </w:pPr>
    </w:p>
    <w:sectPr>
      <w:footerReference r:id="rId13" w:type="default"/>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59AC">
    <w:pPr>
      <w:pStyle w:val="17"/>
      <w:jc w:val="lef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B67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0FBF">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D3E6">
    <w:pPr>
      <w:pStyle w:val="17"/>
      <w:ind w:firstLine="420"/>
      <w:jc w:val="center"/>
    </w:pPr>
  </w:p>
  <w:p w14:paraId="5CC9D759">
    <w:pPr>
      <w:pStyle w:val="17"/>
      <w:ind w:firstLine="4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BB65">
    <w:pPr>
      <w:pStyle w:val="17"/>
      <w:jc w:val="center"/>
    </w:pPr>
  </w:p>
  <w:p w14:paraId="38F6D42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8D0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C664">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083B">
    <w:pPr>
      <w:pStyle w:val="61"/>
    </w:pPr>
    <w:r>
      <w:fldChar w:fldCharType="begin"/>
    </w:r>
    <w:r>
      <w:instrText xml:space="preserve"> STYLEREF  标准文件_文件编号  \* MERGEFORMAT </w:instrText>
    </w:r>
    <w:r>
      <w:fldChar w:fldCharType="separate"/>
    </w:r>
    <w:r>
      <w:t>DB 42/T 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2793">
    <w:pPr>
      <w:pStyle w:val="18"/>
      <w:jc w:val="left"/>
      <w:rPr>
        <w:rFonts w:ascii="黑体" w:hAnsi="黑体" w:eastAsia="黑体"/>
        <w:sz w:val="21"/>
        <w:szCs w:val="21"/>
        <w:lang w:val="fr-FR"/>
      </w:rPr>
    </w:pPr>
    <w:r>
      <w:rPr>
        <w:rFonts w:ascii="黑体" w:hAnsi="黑体" w:eastAsia="黑体"/>
        <w:sz w:val="21"/>
        <w:szCs w:val="21"/>
      </w:rPr>
      <w:fldChar w:fldCharType="begin"/>
    </w:r>
    <w:r>
      <w:rPr>
        <w:rFonts w:ascii="黑体" w:hAnsi="黑体" w:eastAsia="黑体"/>
        <w:sz w:val="21"/>
        <w:szCs w:val="21"/>
        <w:lang w:val="fr-FR"/>
      </w:rPr>
      <w:instrText xml:space="preserve"> STYLEREF  </w:instrText>
    </w:r>
    <w:r>
      <w:rPr>
        <w:rFonts w:ascii="黑体" w:hAnsi="黑体" w:eastAsia="黑体"/>
        <w:sz w:val="21"/>
        <w:szCs w:val="21"/>
      </w:rPr>
      <w:instrText xml:space="preserve">标准文件</w:instrText>
    </w:r>
    <w:r>
      <w:rPr>
        <w:rFonts w:ascii="黑体" w:hAnsi="黑体" w:eastAsia="黑体"/>
        <w:sz w:val="21"/>
        <w:szCs w:val="21"/>
        <w:lang w:val="fr-FR"/>
      </w:rPr>
      <w:instrText xml:space="preserve">_</w:instrText>
    </w:r>
    <w:r>
      <w:rPr>
        <w:rFonts w:ascii="黑体" w:hAnsi="黑体" w:eastAsia="黑体"/>
        <w:sz w:val="21"/>
        <w:szCs w:val="21"/>
      </w:rPr>
      <w:instrText xml:space="preserve">文件编号</w:instrText>
    </w:r>
    <w:r>
      <w:rPr>
        <w:rFonts w:ascii="黑体" w:hAnsi="黑体" w:eastAsia="黑体"/>
        <w:sz w:val="21"/>
        <w:szCs w:val="21"/>
        <w:lang w:val="fr-FR"/>
      </w:rPr>
      <w:instrText xml:space="preserve">  \* MERGEFORMAT </w:instrText>
    </w:r>
    <w:r>
      <w:rPr>
        <w:rFonts w:ascii="黑体" w:hAnsi="黑体" w:eastAsia="黑体"/>
        <w:sz w:val="21"/>
        <w:szCs w:val="21"/>
      </w:rPr>
      <w:fldChar w:fldCharType="separate"/>
    </w:r>
    <w:r>
      <w:rPr>
        <w:rFonts w:ascii="黑体" w:hAnsi="黑体" w:eastAsia="黑体"/>
        <w:sz w:val="21"/>
        <w:szCs w:val="21"/>
        <w:lang w:val="fr-FR"/>
      </w:rPr>
      <w:t>DB 42/T XXX—2025</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615B9"/>
    <w:multiLevelType w:val="singleLevel"/>
    <w:tmpl w:val="DBB615B9"/>
    <w:lvl w:ilvl="0" w:tentative="0">
      <w:start w:val="1"/>
      <w:numFmt w:val="chineseCounting"/>
      <w:suff w:val="nothing"/>
      <w:lvlText w:val="（%1）"/>
      <w:lvlJc w:val="left"/>
      <w:pPr>
        <w:ind w:left="0" w:firstLine="420"/>
      </w:pPr>
      <w:rPr>
        <w:rFonts w:hint="eastAsia"/>
      </w:rPr>
    </w:lvl>
  </w:abstractNum>
  <w:abstractNum w:abstractNumId="1">
    <w:nsid w:val="F7DB139D"/>
    <w:multiLevelType w:val="singleLevel"/>
    <w:tmpl w:val="F7DB139D"/>
    <w:lvl w:ilvl="0" w:tentative="0">
      <w:start w:val="1"/>
      <w:numFmt w:val="chineseCounting"/>
      <w:suff w:val="nothing"/>
      <w:lvlText w:val="（%1）"/>
      <w:lvlJc w:val="left"/>
      <w:pPr>
        <w:ind w:left="0" w:firstLine="420"/>
      </w:pPr>
      <w:rPr>
        <w:rFonts w:hint="eastAsia"/>
      </w:rPr>
    </w:lvl>
  </w:abstractNum>
  <w:abstractNum w:abstractNumId="2">
    <w:nsid w:val="FAFEF0E4"/>
    <w:multiLevelType w:val="singleLevel"/>
    <w:tmpl w:val="FAFEF0E4"/>
    <w:lvl w:ilvl="0" w:tentative="0">
      <w:start w:val="1"/>
      <w:numFmt w:val="chineseCounting"/>
      <w:suff w:val="nothing"/>
      <w:lvlText w:val="（%1）"/>
      <w:lvlJc w:val="left"/>
      <w:pPr>
        <w:ind w:left="0" w:firstLine="420"/>
      </w:pPr>
      <w:rPr>
        <w:rFonts w:hint="eastAsia"/>
      </w:rPr>
    </w:lvl>
  </w:abstractNum>
  <w:abstractNum w:abstractNumId="3">
    <w:nsid w:val="FE3BDF2F"/>
    <w:multiLevelType w:val="singleLevel"/>
    <w:tmpl w:val="FE3BDF2F"/>
    <w:lvl w:ilvl="0" w:tentative="0">
      <w:start w:val="1"/>
      <w:numFmt w:val="chineseCounting"/>
      <w:suff w:val="nothing"/>
      <w:lvlText w:val="（%1）"/>
      <w:lvlJc w:val="left"/>
      <w:pPr>
        <w:ind w:left="0" w:firstLine="420"/>
      </w:pPr>
      <w:rPr>
        <w:rFonts w:hint="eastAsia"/>
      </w:rPr>
    </w:lvl>
  </w:abstractNum>
  <w:abstractNum w:abstractNumId="4">
    <w:nsid w:val="FF181D30"/>
    <w:multiLevelType w:val="multilevel"/>
    <w:tmpl w:val="FF181D30"/>
    <w:lvl w:ilvl="0" w:tentative="0">
      <w:start w:val="1"/>
      <w:numFmt w:val="decimal"/>
      <w:lvlText w:val="（%1）"/>
      <w:lvlJc w:val="left"/>
      <w:pPr>
        <w:ind w:left="120" w:hanging="707"/>
      </w:pPr>
      <w:rPr>
        <w:rFonts w:hint="default" w:ascii="宋体" w:hAnsi="宋体" w:eastAsia="宋体" w:cs="宋体"/>
        <w:w w:val="100"/>
        <w:sz w:val="26"/>
        <w:szCs w:val="26"/>
        <w:lang w:val="zh-CN" w:eastAsia="zh-CN" w:bidi="zh-CN"/>
      </w:rPr>
    </w:lvl>
    <w:lvl w:ilvl="1" w:tentative="0">
      <w:start w:val="0"/>
      <w:numFmt w:val="bullet"/>
      <w:lvlText w:val="•"/>
      <w:lvlJc w:val="left"/>
      <w:pPr>
        <w:ind w:left="976" w:hanging="707"/>
      </w:pPr>
      <w:rPr>
        <w:rFonts w:hint="default"/>
        <w:lang w:val="zh-CN" w:eastAsia="zh-CN" w:bidi="zh-CN"/>
      </w:rPr>
    </w:lvl>
    <w:lvl w:ilvl="2" w:tentative="0">
      <w:start w:val="0"/>
      <w:numFmt w:val="bullet"/>
      <w:lvlText w:val="•"/>
      <w:lvlJc w:val="left"/>
      <w:pPr>
        <w:ind w:left="1833" w:hanging="707"/>
      </w:pPr>
      <w:rPr>
        <w:rFonts w:hint="default"/>
        <w:lang w:val="zh-CN" w:eastAsia="zh-CN" w:bidi="zh-CN"/>
      </w:rPr>
    </w:lvl>
    <w:lvl w:ilvl="3" w:tentative="0">
      <w:start w:val="0"/>
      <w:numFmt w:val="bullet"/>
      <w:lvlText w:val="•"/>
      <w:lvlJc w:val="left"/>
      <w:pPr>
        <w:ind w:left="2689" w:hanging="707"/>
      </w:pPr>
      <w:rPr>
        <w:rFonts w:hint="default"/>
        <w:lang w:val="zh-CN" w:eastAsia="zh-CN" w:bidi="zh-CN"/>
      </w:rPr>
    </w:lvl>
    <w:lvl w:ilvl="4" w:tentative="0">
      <w:start w:val="0"/>
      <w:numFmt w:val="bullet"/>
      <w:lvlText w:val="•"/>
      <w:lvlJc w:val="left"/>
      <w:pPr>
        <w:ind w:left="3546" w:hanging="707"/>
      </w:pPr>
      <w:rPr>
        <w:rFonts w:hint="default"/>
        <w:lang w:val="zh-CN" w:eastAsia="zh-CN" w:bidi="zh-CN"/>
      </w:rPr>
    </w:lvl>
    <w:lvl w:ilvl="5" w:tentative="0">
      <w:start w:val="0"/>
      <w:numFmt w:val="bullet"/>
      <w:lvlText w:val="•"/>
      <w:lvlJc w:val="left"/>
      <w:pPr>
        <w:ind w:left="4403" w:hanging="707"/>
      </w:pPr>
      <w:rPr>
        <w:rFonts w:hint="default"/>
        <w:lang w:val="zh-CN" w:eastAsia="zh-CN" w:bidi="zh-CN"/>
      </w:rPr>
    </w:lvl>
    <w:lvl w:ilvl="6" w:tentative="0">
      <w:start w:val="0"/>
      <w:numFmt w:val="bullet"/>
      <w:lvlText w:val="•"/>
      <w:lvlJc w:val="left"/>
      <w:pPr>
        <w:ind w:left="5259" w:hanging="707"/>
      </w:pPr>
      <w:rPr>
        <w:rFonts w:hint="default"/>
        <w:lang w:val="zh-CN" w:eastAsia="zh-CN" w:bidi="zh-CN"/>
      </w:rPr>
    </w:lvl>
    <w:lvl w:ilvl="7" w:tentative="0">
      <w:start w:val="0"/>
      <w:numFmt w:val="bullet"/>
      <w:lvlText w:val="•"/>
      <w:lvlJc w:val="left"/>
      <w:pPr>
        <w:ind w:left="6116" w:hanging="707"/>
      </w:pPr>
      <w:rPr>
        <w:rFonts w:hint="default"/>
        <w:lang w:val="zh-CN" w:eastAsia="zh-CN" w:bidi="zh-CN"/>
      </w:rPr>
    </w:lvl>
    <w:lvl w:ilvl="8" w:tentative="0">
      <w:start w:val="0"/>
      <w:numFmt w:val="bullet"/>
      <w:lvlText w:val="•"/>
      <w:lvlJc w:val="left"/>
      <w:pPr>
        <w:ind w:left="6973" w:hanging="707"/>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101" w:hanging="705"/>
      </w:pPr>
      <w:rPr>
        <w:rFonts w:hint="default" w:ascii="宋体" w:hAnsi="宋体" w:eastAsia="宋体" w:cs="宋体"/>
        <w:b w:val="0"/>
        <w:bCs w:val="0"/>
        <w:spacing w:val="-3"/>
        <w:w w:val="100"/>
        <w:sz w:val="26"/>
        <w:szCs w:val="26"/>
        <w:lang w:val="zh-CN" w:eastAsia="zh-CN" w:bidi="zh-CN"/>
      </w:rPr>
    </w:lvl>
    <w:lvl w:ilvl="1" w:tentative="0">
      <w:start w:val="0"/>
      <w:numFmt w:val="bullet"/>
      <w:lvlText w:val="•"/>
      <w:lvlJc w:val="left"/>
      <w:pPr>
        <w:ind w:left="976" w:hanging="705"/>
      </w:pPr>
      <w:rPr>
        <w:rFonts w:hint="default"/>
        <w:lang w:val="zh-CN" w:eastAsia="zh-CN" w:bidi="zh-CN"/>
      </w:rPr>
    </w:lvl>
    <w:lvl w:ilvl="2" w:tentative="0">
      <w:start w:val="0"/>
      <w:numFmt w:val="bullet"/>
      <w:lvlText w:val="•"/>
      <w:lvlJc w:val="left"/>
      <w:pPr>
        <w:ind w:left="1833" w:hanging="705"/>
      </w:pPr>
      <w:rPr>
        <w:rFonts w:hint="default"/>
        <w:lang w:val="zh-CN" w:eastAsia="zh-CN" w:bidi="zh-CN"/>
      </w:rPr>
    </w:lvl>
    <w:lvl w:ilvl="3" w:tentative="0">
      <w:start w:val="0"/>
      <w:numFmt w:val="bullet"/>
      <w:lvlText w:val="•"/>
      <w:lvlJc w:val="left"/>
      <w:pPr>
        <w:ind w:left="2689" w:hanging="705"/>
      </w:pPr>
      <w:rPr>
        <w:rFonts w:hint="default"/>
        <w:lang w:val="zh-CN" w:eastAsia="zh-CN" w:bidi="zh-CN"/>
      </w:rPr>
    </w:lvl>
    <w:lvl w:ilvl="4" w:tentative="0">
      <w:start w:val="0"/>
      <w:numFmt w:val="bullet"/>
      <w:lvlText w:val="•"/>
      <w:lvlJc w:val="left"/>
      <w:pPr>
        <w:ind w:left="3546" w:hanging="705"/>
      </w:pPr>
      <w:rPr>
        <w:rFonts w:hint="default"/>
        <w:lang w:val="zh-CN" w:eastAsia="zh-CN" w:bidi="zh-CN"/>
      </w:rPr>
    </w:lvl>
    <w:lvl w:ilvl="5" w:tentative="0">
      <w:start w:val="0"/>
      <w:numFmt w:val="bullet"/>
      <w:lvlText w:val="•"/>
      <w:lvlJc w:val="left"/>
      <w:pPr>
        <w:ind w:left="4403" w:hanging="705"/>
      </w:pPr>
      <w:rPr>
        <w:rFonts w:hint="default"/>
        <w:lang w:val="zh-CN" w:eastAsia="zh-CN" w:bidi="zh-CN"/>
      </w:rPr>
    </w:lvl>
    <w:lvl w:ilvl="6" w:tentative="0">
      <w:start w:val="0"/>
      <w:numFmt w:val="bullet"/>
      <w:lvlText w:val="•"/>
      <w:lvlJc w:val="left"/>
      <w:pPr>
        <w:ind w:left="5259" w:hanging="705"/>
      </w:pPr>
      <w:rPr>
        <w:rFonts w:hint="default"/>
        <w:lang w:val="zh-CN" w:eastAsia="zh-CN" w:bidi="zh-CN"/>
      </w:rPr>
    </w:lvl>
    <w:lvl w:ilvl="7" w:tentative="0">
      <w:start w:val="0"/>
      <w:numFmt w:val="bullet"/>
      <w:lvlText w:val="•"/>
      <w:lvlJc w:val="left"/>
      <w:pPr>
        <w:ind w:left="6116" w:hanging="705"/>
      </w:pPr>
      <w:rPr>
        <w:rFonts w:hint="default"/>
        <w:lang w:val="zh-CN" w:eastAsia="zh-CN" w:bidi="zh-CN"/>
      </w:rPr>
    </w:lvl>
    <w:lvl w:ilvl="8" w:tentative="0">
      <w:start w:val="0"/>
      <w:numFmt w:val="bullet"/>
      <w:lvlText w:val="•"/>
      <w:lvlJc w:val="left"/>
      <w:pPr>
        <w:ind w:left="6973" w:hanging="705"/>
      </w:pPr>
      <w:rPr>
        <w:rFonts w:hint="default"/>
        <w:lang w:val="zh-CN" w:eastAsia="zh-CN" w:bidi="zh-CN"/>
      </w:rPr>
    </w:lvl>
  </w:abstractNum>
  <w:abstractNum w:abstractNumId="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7"/>
      <w:lvlText w:val="[%1]"/>
      <w:lvlJc w:val="left"/>
      <w:pPr>
        <w:ind w:left="823" w:hanging="420"/>
      </w:pPr>
    </w:lvl>
    <w:lvl w:ilvl="1" w:tentative="0">
      <w:start w:val="1"/>
      <w:numFmt w:val="lowerLetter"/>
      <w:pStyle w:val="230"/>
      <w:lvlText w:val="%2)"/>
      <w:lvlJc w:val="left"/>
      <w:pPr>
        <w:tabs>
          <w:tab w:val="left" w:pos="840"/>
        </w:tabs>
        <w:ind w:left="840" w:hanging="420"/>
      </w:pPr>
    </w:lvl>
    <w:lvl w:ilvl="2" w:tentative="0">
      <w:start w:val="1"/>
      <w:numFmt w:val="lowerRoman"/>
      <w:pStyle w:val="235"/>
      <w:lvlText w:val="%3."/>
      <w:lvlJc w:val="right"/>
      <w:pPr>
        <w:tabs>
          <w:tab w:val="left" w:pos="1260"/>
        </w:tabs>
        <w:ind w:left="1260" w:hanging="420"/>
      </w:pPr>
    </w:lvl>
    <w:lvl w:ilvl="3" w:tentative="0">
      <w:start w:val="1"/>
      <w:numFmt w:val="decimal"/>
      <w:pStyle w:val="2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0E9C367E"/>
    <w:multiLevelType w:val="multilevel"/>
    <w:tmpl w:val="0E9C367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08B3784"/>
    <w:multiLevelType w:val="multilevel"/>
    <w:tmpl w:val="208B3784"/>
    <w:lvl w:ilvl="0" w:tentative="0">
      <w:start w:val="1"/>
      <w:numFmt w:val="decimal"/>
      <w:lvlText w:val="（%1）"/>
      <w:lvlJc w:val="left"/>
      <w:pPr>
        <w:ind w:left="101" w:hanging="705"/>
      </w:pPr>
      <w:rPr>
        <w:rFonts w:hint="default" w:ascii="宋体" w:hAnsi="宋体" w:eastAsia="宋体" w:cs="宋体"/>
        <w:b w:val="0"/>
        <w:bCs w:val="0"/>
        <w:spacing w:val="-3"/>
        <w:w w:val="100"/>
        <w:sz w:val="26"/>
        <w:szCs w:val="26"/>
        <w:lang w:val="zh-CN" w:eastAsia="zh-CN" w:bidi="zh-CN"/>
      </w:rPr>
    </w:lvl>
    <w:lvl w:ilvl="1" w:tentative="0">
      <w:start w:val="0"/>
      <w:numFmt w:val="bullet"/>
      <w:lvlText w:val="•"/>
      <w:lvlJc w:val="left"/>
      <w:pPr>
        <w:ind w:left="976" w:hanging="705"/>
      </w:pPr>
      <w:rPr>
        <w:rFonts w:hint="default"/>
        <w:lang w:val="zh-CN" w:eastAsia="zh-CN" w:bidi="zh-CN"/>
      </w:rPr>
    </w:lvl>
    <w:lvl w:ilvl="2" w:tentative="0">
      <w:start w:val="0"/>
      <w:numFmt w:val="bullet"/>
      <w:lvlText w:val="•"/>
      <w:lvlJc w:val="left"/>
      <w:pPr>
        <w:ind w:left="1833" w:hanging="705"/>
      </w:pPr>
      <w:rPr>
        <w:rFonts w:hint="default"/>
        <w:lang w:val="zh-CN" w:eastAsia="zh-CN" w:bidi="zh-CN"/>
      </w:rPr>
    </w:lvl>
    <w:lvl w:ilvl="3" w:tentative="0">
      <w:start w:val="0"/>
      <w:numFmt w:val="bullet"/>
      <w:lvlText w:val="•"/>
      <w:lvlJc w:val="left"/>
      <w:pPr>
        <w:ind w:left="2689" w:hanging="705"/>
      </w:pPr>
      <w:rPr>
        <w:rFonts w:hint="default"/>
        <w:lang w:val="zh-CN" w:eastAsia="zh-CN" w:bidi="zh-CN"/>
      </w:rPr>
    </w:lvl>
    <w:lvl w:ilvl="4" w:tentative="0">
      <w:start w:val="0"/>
      <w:numFmt w:val="bullet"/>
      <w:lvlText w:val="•"/>
      <w:lvlJc w:val="left"/>
      <w:pPr>
        <w:ind w:left="3546" w:hanging="705"/>
      </w:pPr>
      <w:rPr>
        <w:rFonts w:hint="default"/>
        <w:lang w:val="zh-CN" w:eastAsia="zh-CN" w:bidi="zh-CN"/>
      </w:rPr>
    </w:lvl>
    <w:lvl w:ilvl="5" w:tentative="0">
      <w:start w:val="0"/>
      <w:numFmt w:val="bullet"/>
      <w:lvlText w:val="•"/>
      <w:lvlJc w:val="left"/>
      <w:pPr>
        <w:ind w:left="4403" w:hanging="705"/>
      </w:pPr>
      <w:rPr>
        <w:rFonts w:hint="default"/>
        <w:lang w:val="zh-CN" w:eastAsia="zh-CN" w:bidi="zh-CN"/>
      </w:rPr>
    </w:lvl>
    <w:lvl w:ilvl="6" w:tentative="0">
      <w:start w:val="0"/>
      <w:numFmt w:val="bullet"/>
      <w:lvlText w:val="•"/>
      <w:lvlJc w:val="left"/>
      <w:pPr>
        <w:ind w:left="5259" w:hanging="705"/>
      </w:pPr>
      <w:rPr>
        <w:rFonts w:hint="default"/>
        <w:lang w:val="zh-CN" w:eastAsia="zh-CN" w:bidi="zh-CN"/>
      </w:rPr>
    </w:lvl>
    <w:lvl w:ilvl="7" w:tentative="0">
      <w:start w:val="0"/>
      <w:numFmt w:val="bullet"/>
      <w:lvlText w:val="•"/>
      <w:lvlJc w:val="left"/>
      <w:pPr>
        <w:ind w:left="6116" w:hanging="705"/>
      </w:pPr>
      <w:rPr>
        <w:rFonts w:hint="default"/>
        <w:lang w:val="zh-CN" w:eastAsia="zh-CN" w:bidi="zh-CN"/>
      </w:rPr>
    </w:lvl>
    <w:lvl w:ilvl="8" w:tentative="0">
      <w:start w:val="0"/>
      <w:numFmt w:val="bullet"/>
      <w:lvlText w:val="•"/>
      <w:lvlJc w:val="left"/>
      <w:pPr>
        <w:ind w:left="6973" w:hanging="705"/>
      </w:pPr>
      <w:rPr>
        <w:rFonts w:hint="default"/>
        <w:lang w:val="zh-CN" w:eastAsia="zh-CN" w:bidi="zh-CN"/>
      </w:rPr>
    </w:lvl>
  </w:abstractNum>
  <w:abstractNum w:abstractNumId="18">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3FBFC3B"/>
    <w:multiLevelType w:val="singleLevel"/>
    <w:tmpl w:val="33FBFC3B"/>
    <w:lvl w:ilvl="0" w:tentative="0">
      <w:start w:val="1"/>
      <w:numFmt w:val="chineseCounting"/>
      <w:suff w:val="nothing"/>
      <w:lvlText w:val="%1、"/>
      <w:lvlJc w:val="left"/>
      <w:pPr>
        <w:ind w:left="0" w:firstLine="420"/>
      </w:pPr>
      <w:rPr>
        <w:rFonts w:hint="eastAsia"/>
      </w:rPr>
    </w:lvl>
  </w:abstractNum>
  <w:abstractNum w:abstractNumId="21">
    <w:nsid w:val="3D286546"/>
    <w:multiLevelType w:val="multilevel"/>
    <w:tmpl w:val="3D286546"/>
    <w:lvl w:ilvl="0" w:tentative="0">
      <w:start w:val="1"/>
      <w:numFmt w:val="japaneseCounting"/>
      <w:lvlText w:val="%1、"/>
      <w:lvlJc w:val="left"/>
      <w:pPr>
        <w:ind w:left="900" w:hanging="900"/>
      </w:pPr>
      <w:rPr>
        <w:rFonts w:hint="default"/>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default" w:ascii="黑体" w:eastAsia="黑体"/>
        <w:color w:val="auto"/>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ADCABA"/>
    <w:multiLevelType w:val="multilevel"/>
    <w:tmpl w:val="59ADCABA"/>
    <w:lvl w:ilvl="0" w:tentative="0">
      <w:start w:val="1"/>
      <w:numFmt w:val="decimal"/>
      <w:lvlText w:val="（%1）"/>
      <w:lvlJc w:val="left"/>
      <w:pPr>
        <w:ind w:left="120" w:hanging="707"/>
      </w:pPr>
      <w:rPr>
        <w:rFonts w:hint="default" w:ascii="宋体" w:hAnsi="宋体" w:eastAsia="宋体" w:cs="宋体"/>
        <w:w w:val="100"/>
        <w:sz w:val="26"/>
        <w:szCs w:val="26"/>
        <w:lang w:val="zh-CN" w:eastAsia="zh-CN" w:bidi="zh-CN"/>
      </w:rPr>
    </w:lvl>
    <w:lvl w:ilvl="1" w:tentative="0">
      <w:start w:val="0"/>
      <w:numFmt w:val="bullet"/>
      <w:lvlText w:val="•"/>
      <w:lvlJc w:val="left"/>
      <w:pPr>
        <w:ind w:left="976" w:hanging="707"/>
      </w:pPr>
      <w:rPr>
        <w:rFonts w:hint="default"/>
        <w:lang w:val="zh-CN" w:eastAsia="zh-CN" w:bidi="zh-CN"/>
      </w:rPr>
    </w:lvl>
    <w:lvl w:ilvl="2" w:tentative="0">
      <w:start w:val="0"/>
      <w:numFmt w:val="bullet"/>
      <w:lvlText w:val="•"/>
      <w:lvlJc w:val="left"/>
      <w:pPr>
        <w:ind w:left="1833" w:hanging="707"/>
      </w:pPr>
      <w:rPr>
        <w:rFonts w:hint="default"/>
        <w:lang w:val="zh-CN" w:eastAsia="zh-CN" w:bidi="zh-CN"/>
      </w:rPr>
    </w:lvl>
    <w:lvl w:ilvl="3" w:tentative="0">
      <w:start w:val="0"/>
      <w:numFmt w:val="bullet"/>
      <w:lvlText w:val="•"/>
      <w:lvlJc w:val="left"/>
      <w:pPr>
        <w:ind w:left="2689" w:hanging="707"/>
      </w:pPr>
      <w:rPr>
        <w:rFonts w:hint="default"/>
        <w:lang w:val="zh-CN" w:eastAsia="zh-CN" w:bidi="zh-CN"/>
      </w:rPr>
    </w:lvl>
    <w:lvl w:ilvl="4" w:tentative="0">
      <w:start w:val="0"/>
      <w:numFmt w:val="bullet"/>
      <w:lvlText w:val="•"/>
      <w:lvlJc w:val="left"/>
      <w:pPr>
        <w:ind w:left="3546" w:hanging="707"/>
      </w:pPr>
      <w:rPr>
        <w:rFonts w:hint="default"/>
        <w:lang w:val="zh-CN" w:eastAsia="zh-CN" w:bidi="zh-CN"/>
      </w:rPr>
    </w:lvl>
    <w:lvl w:ilvl="5" w:tentative="0">
      <w:start w:val="0"/>
      <w:numFmt w:val="bullet"/>
      <w:lvlText w:val="•"/>
      <w:lvlJc w:val="left"/>
      <w:pPr>
        <w:ind w:left="4403" w:hanging="707"/>
      </w:pPr>
      <w:rPr>
        <w:rFonts w:hint="default"/>
        <w:lang w:val="zh-CN" w:eastAsia="zh-CN" w:bidi="zh-CN"/>
      </w:rPr>
    </w:lvl>
    <w:lvl w:ilvl="6" w:tentative="0">
      <w:start w:val="0"/>
      <w:numFmt w:val="bullet"/>
      <w:lvlText w:val="•"/>
      <w:lvlJc w:val="left"/>
      <w:pPr>
        <w:ind w:left="5259" w:hanging="707"/>
      </w:pPr>
      <w:rPr>
        <w:rFonts w:hint="default"/>
        <w:lang w:val="zh-CN" w:eastAsia="zh-CN" w:bidi="zh-CN"/>
      </w:rPr>
    </w:lvl>
    <w:lvl w:ilvl="7" w:tentative="0">
      <w:start w:val="0"/>
      <w:numFmt w:val="bullet"/>
      <w:lvlText w:val="•"/>
      <w:lvlJc w:val="left"/>
      <w:pPr>
        <w:ind w:left="6116" w:hanging="707"/>
      </w:pPr>
      <w:rPr>
        <w:rFonts w:hint="default"/>
        <w:lang w:val="zh-CN" w:eastAsia="zh-CN" w:bidi="zh-CN"/>
      </w:rPr>
    </w:lvl>
    <w:lvl w:ilvl="8" w:tentative="0">
      <w:start w:val="0"/>
      <w:numFmt w:val="bullet"/>
      <w:lvlText w:val="•"/>
      <w:lvlJc w:val="left"/>
      <w:pPr>
        <w:ind w:left="6973" w:hanging="707"/>
      </w:pPr>
      <w:rPr>
        <w:rFonts w:hint="default"/>
        <w:lang w:val="zh-CN" w:eastAsia="zh-CN" w:bidi="zh-CN"/>
      </w:rPr>
    </w:lvl>
  </w:abstractNum>
  <w:abstractNum w:abstractNumId="3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426"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568" w:firstLine="0"/>
      </w:pPr>
      <w:rPr>
        <w:rFonts w:hint="eastAsia" w:ascii="黑体" w:eastAsia="黑体"/>
        <w:b w:val="0"/>
        <w:i w:val="0"/>
        <w:color w:val="auto"/>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8"/>
  </w:num>
  <w:num w:numId="3">
    <w:abstractNumId w:val="11"/>
  </w:num>
  <w:num w:numId="4">
    <w:abstractNumId w:val="34"/>
  </w:num>
  <w:num w:numId="5">
    <w:abstractNumId w:val="28"/>
  </w:num>
  <w:num w:numId="6">
    <w:abstractNumId w:val="23"/>
  </w:num>
  <w:num w:numId="7">
    <w:abstractNumId w:val="15"/>
  </w:num>
  <w:num w:numId="8">
    <w:abstractNumId w:val="9"/>
  </w:num>
  <w:num w:numId="9">
    <w:abstractNumId w:val="16"/>
  </w:num>
  <w:num w:numId="10">
    <w:abstractNumId w:val="26"/>
  </w:num>
  <w:num w:numId="11">
    <w:abstractNumId w:val="36"/>
  </w:num>
  <w:num w:numId="12">
    <w:abstractNumId w:val="19"/>
  </w:num>
  <w:num w:numId="13">
    <w:abstractNumId w:val="22"/>
  </w:num>
  <w:num w:numId="14">
    <w:abstractNumId w:val="14"/>
  </w:num>
  <w:num w:numId="15">
    <w:abstractNumId w:val="29"/>
  </w:num>
  <w:num w:numId="16">
    <w:abstractNumId w:val="32"/>
  </w:num>
  <w:num w:numId="17">
    <w:abstractNumId w:val="27"/>
  </w:num>
  <w:num w:numId="18">
    <w:abstractNumId w:val="40"/>
  </w:num>
  <w:num w:numId="19">
    <w:abstractNumId w:val="25"/>
  </w:num>
  <w:num w:numId="20">
    <w:abstractNumId w:val="7"/>
  </w:num>
  <w:num w:numId="21">
    <w:abstractNumId w:val="18"/>
  </w:num>
  <w:num w:numId="22">
    <w:abstractNumId w:val="41"/>
  </w:num>
  <w:num w:numId="23">
    <w:abstractNumId w:val="31"/>
  </w:num>
  <w:num w:numId="24">
    <w:abstractNumId w:val="12"/>
  </w:num>
  <w:num w:numId="25">
    <w:abstractNumId w:val="37"/>
  </w:num>
  <w:num w:numId="26">
    <w:abstractNumId w:val="39"/>
  </w:num>
  <w:num w:numId="27">
    <w:abstractNumId w:val="8"/>
  </w:num>
  <w:num w:numId="28">
    <w:abstractNumId w:val="10"/>
  </w:num>
  <w:num w:numId="29">
    <w:abstractNumId w:val="24"/>
  </w:num>
  <w:num w:numId="30">
    <w:abstractNumId w:val="35"/>
  </w:num>
  <w:num w:numId="31">
    <w:abstractNumId w:val="33"/>
  </w:num>
  <w:num w:numId="32">
    <w:abstractNumId w:val="13"/>
  </w:num>
  <w:num w:numId="33">
    <w:abstractNumId w:val="20"/>
  </w:num>
  <w:num w:numId="34">
    <w:abstractNumId w:val="3"/>
  </w:num>
  <w:num w:numId="35">
    <w:abstractNumId w:val="0"/>
  </w:num>
  <w:num w:numId="36">
    <w:abstractNumId w:val="2"/>
  </w:num>
  <w:num w:numId="37">
    <w:abstractNumId w:val="1"/>
  </w:num>
  <w:num w:numId="38">
    <w:abstractNumId w:val="21"/>
  </w:num>
  <w:num w:numId="39">
    <w:abstractNumId w:val="5"/>
  </w:num>
  <w:num w:numId="40">
    <w:abstractNumId w:val="17"/>
  </w:num>
  <w:num w:numId="41">
    <w:abstractNumId w:val="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AE"/>
    <w:rsid w:val="0000040A"/>
    <w:rsid w:val="00000A94"/>
    <w:rsid w:val="00001972"/>
    <w:rsid w:val="00001D9A"/>
    <w:rsid w:val="00007B3A"/>
    <w:rsid w:val="000107E0"/>
    <w:rsid w:val="00011FDE"/>
    <w:rsid w:val="00012FFD"/>
    <w:rsid w:val="00014162"/>
    <w:rsid w:val="00014340"/>
    <w:rsid w:val="00016A9C"/>
    <w:rsid w:val="00022184"/>
    <w:rsid w:val="00022762"/>
    <w:rsid w:val="000229AF"/>
    <w:rsid w:val="000238E0"/>
    <w:rsid w:val="000249DB"/>
    <w:rsid w:val="0002595E"/>
    <w:rsid w:val="000303C3"/>
    <w:rsid w:val="000331D3"/>
    <w:rsid w:val="000346A5"/>
    <w:rsid w:val="000359C3"/>
    <w:rsid w:val="00035A7D"/>
    <w:rsid w:val="000363EF"/>
    <w:rsid w:val="000365ED"/>
    <w:rsid w:val="00037A6A"/>
    <w:rsid w:val="0004249A"/>
    <w:rsid w:val="00043282"/>
    <w:rsid w:val="00044286"/>
    <w:rsid w:val="00047F28"/>
    <w:rsid w:val="000503AA"/>
    <w:rsid w:val="000506A1"/>
    <w:rsid w:val="000515DD"/>
    <w:rsid w:val="0005265A"/>
    <w:rsid w:val="000539DD"/>
    <w:rsid w:val="00053BD3"/>
    <w:rsid w:val="00053BD9"/>
    <w:rsid w:val="000556ED"/>
    <w:rsid w:val="00055FE2"/>
    <w:rsid w:val="0005616F"/>
    <w:rsid w:val="00060C2E"/>
    <w:rsid w:val="00061033"/>
    <w:rsid w:val="000619E9"/>
    <w:rsid w:val="000622D4"/>
    <w:rsid w:val="0006357D"/>
    <w:rsid w:val="00067F1E"/>
    <w:rsid w:val="00071CC0"/>
    <w:rsid w:val="00073C8C"/>
    <w:rsid w:val="00077B64"/>
    <w:rsid w:val="00080A1C"/>
    <w:rsid w:val="00081618"/>
    <w:rsid w:val="00082317"/>
    <w:rsid w:val="00083D2C"/>
    <w:rsid w:val="0008437A"/>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4C96"/>
    <w:rsid w:val="0011711C"/>
    <w:rsid w:val="0012059C"/>
    <w:rsid w:val="00120ABB"/>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713"/>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412"/>
    <w:rsid w:val="0026148A"/>
    <w:rsid w:val="00262696"/>
    <w:rsid w:val="00263D25"/>
    <w:rsid w:val="002643C3"/>
    <w:rsid w:val="00264A0C"/>
    <w:rsid w:val="00266EEB"/>
    <w:rsid w:val="002670A7"/>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1FA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351"/>
    <w:rsid w:val="00317988"/>
    <w:rsid w:val="003221B4"/>
    <w:rsid w:val="0032258D"/>
    <w:rsid w:val="00322E62"/>
    <w:rsid w:val="00324D13"/>
    <w:rsid w:val="00324D2A"/>
    <w:rsid w:val="00324EDD"/>
    <w:rsid w:val="0032536E"/>
    <w:rsid w:val="0033268A"/>
    <w:rsid w:val="003331E4"/>
    <w:rsid w:val="00335362"/>
    <w:rsid w:val="00336C64"/>
    <w:rsid w:val="00337162"/>
    <w:rsid w:val="0034194F"/>
    <w:rsid w:val="003429CC"/>
    <w:rsid w:val="00344605"/>
    <w:rsid w:val="003474AA"/>
    <w:rsid w:val="003477E0"/>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1B9D"/>
    <w:rsid w:val="003F23D3"/>
    <w:rsid w:val="003F3F08"/>
    <w:rsid w:val="003F49F1"/>
    <w:rsid w:val="003F6272"/>
    <w:rsid w:val="004006A4"/>
    <w:rsid w:val="00400E72"/>
    <w:rsid w:val="00401400"/>
    <w:rsid w:val="00404869"/>
    <w:rsid w:val="00405884"/>
    <w:rsid w:val="00407894"/>
    <w:rsid w:val="00407D39"/>
    <w:rsid w:val="004109BC"/>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183"/>
    <w:rsid w:val="00484936"/>
    <w:rsid w:val="00485C89"/>
    <w:rsid w:val="00485CE5"/>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333"/>
    <w:rsid w:val="005073F0"/>
    <w:rsid w:val="00510A7B"/>
    <w:rsid w:val="00512F6E"/>
    <w:rsid w:val="00513038"/>
    <w:rsid w:val="00514174"/>
    <w:rsid w:val="00516088"/>
    <w:rsid w:val="00516B0B"/>
    <w:rsid w:val="005220EC"/>
    <w:rsid w:val="00523F95"/>
    <w:rsid w:val="00524D65"/>
    <w:rsid w:val="0052507B"/>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97CEE"/>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DEA"/>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AB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7AA"/>
    <w:rsid w:val="00695D22"/>
    <w:rsid w:val="006A07AA"/>
    <w:rsid w:val="006A25E5"/>
    <w:rsid w:val="006A2B46"/>
    <w:rsid w:val="006A336D"/>
    <w:rsid w:val="006A37B9"/>
    <w:rsid w:val="006A6719"/>
    <w:rsid w:val="006B2672"/>
    <w:rsid w:val="006B501C"/>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5AB7"/>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365"/>
    <w:rsid w:val="007501A8"/>
    <w:rsid w:val="00750D61"/>
    <w:rsid w:val="00750EE1"/>
    <w:rsid w:val="00752B4D"/>
    <w:rsid w:val="00755402"/>
    <w:rsid w:val="00756B26"/>
    <w:rsid w:val="00756EDF"/>
    <w:rsid w:val="007600E3"/>
    <w:rsid w:val="00765C43"/>
    <w:rsid w:val="00765EFB"/>
    <w:rsid w:val="007671CA"/>
    <w:rsid w:val="00767C61"/>
    <w:rsid w:val="0077008A"/>
    <w:rsid w:val="007713CC"/>
    <w:rsid w:val="007721EE"/>
    <w:rsid w:val="00773C1F"/>
    <w:rsid w:val="00774DA4"/>
    <w:rsid w:val="00775089"/>
    <w:rsid w:val="00776599"/>
    <w:rsid w:val="0078114B"/>
    <w:rsid w:val="00781DD2"/>
    <w:rsid w:val="00783ECF"/>
    <w:rsid w:val="0078413A"/>
    <w:rsid w:val="007959E8"/>
    <w:rsid w:val="00795E9C"/>
    <w:rsid w:val="007A0521"/>
    <w:rsid w:val="007A2E12"/>
    <w:rsid w:val="007A3475"/>
    <w:rsid w:val="007A41C8"/>
    <w:rsid w:val="007A4315"/>
    <w:rsid w:val="007A54CE"/>
    <w:rsid w:val="007A6FD9"/>
    <w:rsid w:val="007A76C9"/>
    <w:rsid w:val="007A7FFA"/>
    <w:rsid w:val="007B04EB"/>
    <w:rsid w:val="007B0D4F"/>
    <w:rsid w:val="007B5614"/>
    <w:rsid w:val="007B5A3D"/>
    <w:rsid w:val="007B5B95"/>
    <w:rsid w:val="007B68EA"/>
    <w:rsid w:val="007B7453"/>
    <w:rsid w:val="007C1E8B"/>
    <w:rsid w:val="007C2D89"/>
    <w:rsid w:val="007C4593"/>
    <w:rsid w:val="007C5309"/>
    <w:rsid w:val="007C5A02"/>
    <w:rsid w:val="007C6069"/>
    <w:rsid w:val="007D06C4"/>
    <w:rsid w:val="007D1352"/>
    <w:rsid w:val="007D2178"/>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9AA"/>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BCB"/>
    <w:rsid w:val="008D7B54"/>
    <w:rsid w:val="008E0C9D"/>
    <w:rsid w:val="008E1648"/>
    <w:rsid w:val="008E1B3E"/>
    <w:rsid w:val="008E2319"/>
    <w:rsid w:val="008E4BB6"/>
    <w:rsid w:val="008E5518"/>
    <w:rsid w:val="008E6A84"/>
    <w:rsid w:val="008F0CDC"/>
    <w:rsid w:val="008F17A3"/>
    <w:rsid w:val="008F1ED3"/>
    <w:rsid w:val="008F23A5"/>
    <w:rsid w:val="008F4C29"/>
    <w:rsid w:val="008F6CB7"/>
    <w:rsid w:val="008F70BD"/>
    <w:rsid w:val="008F788F"/>
    <w:rsid w:val="008F7EA2"/>
    <w:rsid w:val="00902722"/>
    <w:rsid w:val="009027BC"/>
    <w:rsid w:val="0090617E"/>
    <w:rsid w:val="009062E6"/>
    <w:rsid w:val="00911BE5"/>
    <w:rsid w:val="00913CA9"/>
    <w:rsid w:val="009145AE"/>
    <w:rsid w:val="009146CE"/>
    <w:rsid w:val="00914CA7"/>
    <w:rsid w:val="00914D80"/>
    <w:rsid w:val="00915C3E"/>
    <w:rsid w:val="009161A8"/>
    <w:rsid w:val="009245F5"/>
    <w:rsid w:val="009249EC"/>
    <w:rsid w:val="009273B3"/>
    <w:rsid w:val="009305B5"/>
    <w:rsid w:val="00934118"/>
    <w:rsid w:val="009429D5"/>
    <w:rsid w:val="00942BF1"/>
    <w:rsid w:val="00945180"/>
    <w:rsid w:val="00945428"/>
    <w:rsid w:val="0094607B"/>
    <w:rsid w:val="00951063"/>
    <w:rsid w:val="00953604"/>
    <w:rsid w:val="0095496B"/>
    <w:rsid w:val="00955A3E"/>
    <w:rsid w:val="009610DC"/>
    <w:rsid w:val="00961490"/>
    <w:rsid w:val="00961E95"/>
    <w:rsid w:val="0096381A"/>
    <w:rsid w:val="00963ACC"/>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013"/>
    <w:rsid w:val="009A72AD"/>
    <w:rsid w:val="009B09E0"/>
    <w:rsid w:val="009B0BC5"/>
    <w:rsid w:val="009B1247"/>
    <w:rsid w:val="009B46F9"/>
    <w:rsid w:val="009B6029"/>
    <w:rsid w:val="009B6971"/>
    <w:rsid w:val="009C27F1"/>
    <w:rsid w:val="009C3152"/>
    <w:rsid w:val="009C319A"/>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FAE"/>
    <w:rsid w:val="00A648CD"/>
    <w:rsid w:val="00A6537A"/>
    <w:rsid w:val="00A67866"/>
    <w:rsid w:val="00A70B07"/>
    <w:rsid w:val="00A723F8"/>
    <w:rsid w:val="00A74E6A"/>
    <w:rsid w:val="00A77CCB"/>
    <w:rsid w:val="00A83D8D"/>
    <w:rsid w:val="00A8446B"/>
    <w:rsid w:val="00A8473F"/>
    <w:rsid w:val="00A862D6"/>
    <w:rsid w:val="00A8715E"/>
    <w:rsid w:val="00A920F7"/>
    <w:rsid w:val="00A9295B"/>
    <w:rsid w:val="00A93B09"/>
    <w:rsid w:val="00A94247"/>
    <w:rsid w:val="00A952D7"/>
    <w:rsid w:val="00A963F7"/>
    <w:rsid w:val="00A96AD8"/>
    <w:rsid w:val="00AA052C"/>
    <w:rsid w:val="00AA1E45"/>
    <w:rsid w:val="00AA4286"/>
    <w:rsid w:val="00AA456B"/>
    <w:rsid w:val="00AA57F5"/>
    <w:rsid w:val="00AA672E"/>
    <w:rsid w:val="00AA6DA4"/>
    <w:rsid w:val="00AA6EC9"/>
    <w:rsid w:val="00AB41D5"/>
    <w:rsid w:val="00AB6309"/>
    <w:rsid w:val="00AB6C5F"/>
    <w:rsid w:val="00AB6FA9"/>
    <w:rsid w:val="00AB7129"/>
    <w:rsid w:val="00AC27A6"/>
    <w:rsid w:val="00AC30F7"/>
    <w:rsid w:val="00AC3A5A"/>
    <w:rsid w:val="00AC4D95"/>
    <w:rsid w:val="00AC5DF4"/>
    <w:rsid w:val="00AD0AEF"/>
    <w:rsid w:val="00AD117F"/>
    <w:rsid w:val="00AD11B7"/>
    <w:rsid w:val="00AD1A94"/>
    <w:rsid w:val="00AD1C05"/>
    <w:rsid w:val="00AD4126"/>
    <w:rsid w:val="00AD421C"/>
    <w:rsid w:val="00AD44FA"/>
    <w:rsid w:val="00AE0300"/>
    <w:rsid w:val="00AE070A"/>
    <w:rsid w:val="00AE101C"/>
    <w:rsid w:val="00AE37E5"/>
    <w:rsid w:val="00AE3E6B"/>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EF6"/>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42A"/>
    <w:rsid w:val="00B72880"/>
    <w:rsid w:val="00B758BF"/>
    <w:rsid w:val="00B7738D"/>
    <w:rsid w:val="00B77EC8"/>
    <w:rsid w:val="00B827A6"/>
    <w:rsid w:val="00B82E47"/>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79A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26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0F63"/>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0066"/>
    <w:rsid w:val="00D4162B"/>
    <w:rsid w:val="00D4514F"/>
    <w:rsid w:val="00D451E2"/>
    <w:rsid w:val="00D45E89"/>
    <w:rsid w:val="00D45E8D"/>
    <w:rsid w:val="00D466AE"/>
    <w:rsid w:val="00D4734F"/>
    <w:rsid w:val="00D51BF3"/>
    <w:rsid w:val="00D66144"/>
    <w:rsid w:val="00D66846"/>
    <w:rsid w:val="00D675FB"/>
    <w:rsid w:val="00D71F25"/>
    <w:rsid w:val="00D72A9C"/>
    <w:rsid w:val="00D758F2"/>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79B"/>
    <w:rsid w:val="00DB38EE"/>
    <w:rsid w:val="00DB498B"/>
    <w:rsid w:val="00DB66CA"/>
    <w:rsid w:val="00DB6BCA"/>
    <w:rsid w:val="00DB73F7"/>
    <w:rsid w:val="00DC0321"/>
    <w:rsid w:val="00DC3067"/>
    <w:rsid w:val="00DC370B"/>
    <w:rsid w:val="00DC386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BC5"/>
    <w:rsid w:val="00DF1961"/>
    <w:rsid w:val="00DF44DE"/>
    <w:rsid w:val="00DF5F11"/>
    <w:rsid w:val="00E01138"/>
    <w:rsid w:val="00E02DFB"/>
    <w:rsid w:val="00E030F9"/>
    <w:rsid w:val="00E0311A"/>
    <w:rsid w:val="00E03138"/>
    <w:rsid w:val="00E06404"/>
    <w:rsid w:val="00E065D2"/>
    <w:rsid w:val="00E11A85"/>
    <w:rsid w:val="00E12495"/>
    <w:rsid w:val="00E15335"/>
    <w:rsid w:val="00E15CCD"/>
    <w:rsid w:val="00E202EF"/>
    <w:rsid w:val="00E210B5"/>
    <w:rsid w:val="00E23D99"/>
    <w:rsid w:val="00E2552F"/>
    <w:rsid w:val="00E3137A"/>
    <w:rsid w:val="00E32C46"/>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45A"/>
    <w:rsid w:val="00EE54A6"/>
    <w:rsid w:val="00EE613F"/>
    <w:rsid w:val="00EE7295"/>
    <w:rsid w:val="00EE7869"/>
    <w:rsid w:val="00EF054A"/>
    <w:rsid w:val="00EF1994"/>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6E27"/>
    <w:rsid w:val="00F474D0"/>
    <w:rsid w:val="00F50179"/>
    <w:rsid w:val="00F515EE"/>
    <w:rsid w:val="00F56511"/>
    <w:rsid w:val="00F6194E"/>
    <w:rsid w:val="00F623AC"/>
    <w:rsid w:val="00F6412A"/>
    <w:rsid w:val="00F65893"/>
    <w:rsid w:val="00F66A4A"/>
    <w:rsid w:val="00F70B42"/>
    <w:rsid w:val="00F71E22"/>
    <w:rsid w:val="00F72142"/>
    <w:rsid w:val="00F72AE7"/>
    <w:rsid w:val="00F73324"/>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E0C"/>
    <w:rsid w:val="00FC17B7"/>
    <w:rsid w:val="00FC2CB7"/>
    <w:rsid w:val="00FC4090"/>
    <w:rsid w:val="00FC55B4"/>
    <w:rsid w:val="00FD00E6"/>
    <w:rsid w:val="00FD09A1"/>
    <w:rsid w:val="00FD2A7C"/>
    <w:rsid w:val="00FD59EB"/>
    <w:rsid w:val="00FD7299"/>
    <w:rsid w:val="00FE078A"/>
    <w:rsid w:val="00FE1FBE"/>
    <w:rsid w:val="00FE3901"/>
    <w:rsid w:val="00FE39D3"/>
    <w:rsid w:val="00FE4BCE"/>
    <w:rsid w:val="00FE54AE"/>
    <w:rsid w:val="00FE576A"/>
    <w:rsid w:val="00FE7E79"/>
    <w:rsid w:val="00FF3E7D"/>
    <w:rsid w:val="00FF5B99"/>
    <w:rsid w:val="00FF730C"/>
    <w:rsid w:val="00FF73F4"/>
    <w:rsid w:val="00FF7CE4"/>
    <w:rsid w:val="00FF7E39"/>
    <w:rsid w:val="01AF70E0"/>
    <w:rsid w:val="0BDA6233"/>
    <w:rsid w:val="0DCFB36B"/>
    <w:rsid w:val="0F7E5EB1"/>
    <w:rsid w:val="111E43B6"/>
    <w:rsid w:val="121C01A3"/>
    <w:rsid w:val="14343813"/>
    <w:rsid w:val="150978C9"/>
    <w:rsid w:val="177830A8"/>
    <w:rsid w:val="1C955CCD"/>
    <w:rsid w:val="22AC798F"/>
    <w:rsid w:val="230D3246"/>
    <w:rsid w:val="24052A09"/>
    <w:rsid w:val="27F60D15"/>
    <w:rsid w:val="287A2729"/>
    <w:rsid w:val="290033B3"/>
    <w:rsid w:val="2E1C77C8"/>
    <w:rsid w:val="2EB25AF8"/>
    <w:rsid w:val="2FB72072"/>
    <w:rsid w:val="3102393A"/>
    <w:rsid w:val="398121D6"/>
    <w:rsid w:val="39BD0BDD"/>
    <w:rsid w:val="3D3F37F7"/>
    <w:rsid w:val="3E1B0B74"/>
    <w:rsid w:val="3E5828E1"/>
    <w:rsid w:val="3E6D3338"/>
    <w:rsid w:val="3FD7D39E"/>
    <w:rsid w:val="42E64AEA"/>
    <w:rsid w:val="44250560"/>
    <w:rsid w:val="45DF21AA"/>
    <w:rsid w:val="4AFB1B32"/>
    <w:rsid w:val="4C2F4672"/>
    <w:rsid w:val="4E4A0B70"/>
    <w:rsid w:val="4F170BFF"/>
    <w:rsid w:val="51E347C2"/>
    <w:rsid w:val="56872556"/>
    <w:rsid w:val="5CDD5CCD"/>
    <w:rsid w:val="5DDE1A54"/>
    <w:rsid w:val="5E443FDA"/>
    <w:rsid w:val="618B3CA1"/>
    <w:rsid w:val="620677CB"/>
    <w:rsid w:val="64720E03"/>
    <w:rsid w:val="677A50F5"/>
    <w:rsid w:val="69744935"/>
    <w:rsid w:val="6A843180"/>
    <w:rsid w:val="6C5F0204"/>
    <w:rsid w:val="6E1673B2"/>
    <w:rsid w:val="6FAD5A76"/>
    <w:rsid w:val="704B57F7"/>
    <w:rsid w:val="708C49C6"/>
    <w:rsid w:val="7DAE2D99"/>
    <w:rsid w:val="7EF5161A"/>
    <w:rsid w:val="D7A684A9"/>
    <w:rsid w:val="EFFF7FF0"/>
    <w:rsid w:val="F7FBDA72"/>
    <w:rsid w:val="FFF7E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styleId="233">
    <w:name w:val="List Paragraph"/>
    <w:basedOn w:val="1"/>
    <w:qFormat/>
    <w:uiPriority w:val="1"/>
    <w:pPr>
      <w:adjustRightInd/>
      <w:spacing w:line="240" w:lineRule="auto"/>
      <w:ind w:firstLine="420" w:firstLineChars="200"/>
    </w:pPr>
    <w:rPr>
      <w:rFonts w:ascii="Times New Roman" w:hAnsi="Times New Roman"/>
      <w:szCs w:val="24"/>
    </w:rPr>
  </w:style>
  <w:style w:type="paragraph" w:customStyle="1" w:styleId="234">
    <w:name w:val="三级条标题"/>
    <w:basedOn w:val="235"/>
    <w:next w:val="231"/>
    <w:qFormat/>
    <w:uiPriority w:val="0"/>
    <w:pPr>
      <w:numPr>
        <w:ilvl w:val="3"/>
      </w:numPr>
      <w:tabs>
        <w:tab w:val="left" w:pos="0"/>
        <w:tab w:val="left" w:pos="840"/>
      </w:tabs>
      <w:outlineLvl w:val="4"/>
    </w:pPr>
  </w:style>
  <w:style w:type="paragraph" w:customStyle="1" w:styleId="235">
    <w:name w:val="二级条标题"/>
    <w:basedOn w:val="230"/>
    <w:next w:val="231"/>
    <w:qFormat/>
    <w:uiPriority w:val="0"/>
    <w:pPr>
      <w:numPr>
        <w:ilvl w:val="2"/>
      </w:numPr>
      <w:tabs>
        <w:tab w:val="left" w:pos="0"/>
      </w:tabs>
      <w:spacing w:before="50" w:after="50"/>
      <w:outlineLvl w:val="3"/>
    </w:pPr>
  </w:style>
  <w:style w:type="paragraph" w:customStyle="1" w:styleId="236">
    <w:name w:val="二级无"/>
    <w:basedOn w:val="235"/>
    <w:qFormat/>
    <w:uiPriority w:val="0"/>
    <w:pPr>
      <w:tabs>
        <w:tab w:val="clear" w:pos="0"/>
      </w:tabs>
      <w:spacing w:before="0" w:beforeLines="0" w:after="0" w:afterLines="0"/>
    </w:pPr>
    <w:rPr>
      <w:rFonts w:ascii="宋体" w:eastAsia="宋体"/>
    </w:rPr>
  </w:style>
  <w:style w:type="paragraph" w:customStyle="1" w:styleId="237">
    <w:name w:val="章标题"/>
    <w:next w:val="231"/>
    <w:qFormat/>
    <w:uiPriority w:val="0"/>
    <w:pPr>
      <w:spacing w:before="312" w:beforeLines="100" w:after="312" w:afterLines="100"/>
      <w:ind w:left="823" w:hanging="420"/>
      <w:jc w:val="both"/>
      <w:outlineLvl w:val="1"/>
    </w:pPr>
    <w:rPr>
      <w:rFonts w:ascii="黑体" w:hAnsi="Times New Roman" w:eastAsia="黑体" w:cs="Times New Roman"/>
      <w:sz w:val="21"/>
      <w:lang w:val="en-US" w:eastAsia="zh-CN" w:bidi="ar-SA"/>
    </w:rPr>
  </w:style>
  <w:style w:type="paragraph" w:customStyle="1" w:styleId="238">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E270FE93A2F4319828ECE77788D8805"/>
        <w:style w:val=""/>
        <w:category>
          <w:name w:val="常规"/>
          <w:gallery w:val="placeholder"/>
        </w:category>
        <w:types>
          <w:type w:val="bbPlcHdr"/>
        </w:types>
        <w:behaviors>
          <w:behavior w:val="content"/>
        </w:behaviors>
        <w:description w:val=""/>
        <w:guid w:val="{5A145924-0A01-434C-A447-85B8C9683AF3}"/>
      </w:docPartPr>
      <w:docPartBody>
        <w:p w14:paraId="38F30A10">
          <w:pPr>
            <w:pStyle w:val="5"/>
          </w:pPr>
          <w:r>
            <w:rPr>
              <w:rStyle w:val="4"/>
              <w:rFonts w:hint="eastAsia"/>
            </w:rPr>
            <w:t>单击或点击此处输入文字。</w:t>
          </w:r>
        </w:p>
      </w:docPartBody>
    </w:docPart>
    <w:docPart>
      <w:docPartPr>
        <w:name w:val="{f1c865b5-4460-4e32-8dd2-49a5ce7e9a6b}"/>
        <w:style w:val=""/>
        <w:category>
          <w:name w:val="常规"/>
          <w:gallery w:val="placeholder"/>
        </w:category>
        <w:types>
          <w:type w:val="bbPlcHdr"/>
        </w:types>
        <w:behaviors>
          <w:behavior w:val="content"/>
        </w:behaviors>
        <w:description w:val=""/>
        <w:guid w:val="{F1C865B5-4460-4E32-8DD2-49A5CE7E9A6B}"/>
      </w:docPartPr>
      <w:docPartBody>
        <w:p w14:paraId="3044684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4E"/>
    <w:rsid w:val="00081618"/>
    <w:rsid w:val="001374CC"/>
    <w:rsid w:val="00383E8B"/>
    <w:rsid w:val="00416909"/>
    <w:rsid w:val="00433F8B"/>
    <w:rsid w:val="00485CE5"/>
    <w:rsid w:val="00517D6F"/>
    <w:rsid w:val="005704E9"/>
    <w:rsid w:val="006A634E"/>
    <w:rsid w:val="007B73D9"/>
    <w:rsid w:val="008A2709"/>
    <w:rsid w:val="0090617E"/>
    <w:rsid w:val="009B522B"/>
    <w:rsid w:val="009B6802"/>
    <w:rsid w:val="00A35CD2"/>
    <w:rsid w:val="00A86DCD"/>
    <w:rsid w:val="00BD47AC"/>
    <w:rsid w:val="00C909E0"/>
    <w:rsid w:val="00D20FFF"/>
    <w:rsid w:val="00E001E8"/>
    <w:rsid w:val="00E92008"/>
    <w:rsid w:val="00F0031D"/>
    <w:rsid w:val="00F0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E270FE93A2F4319828ECE77788D88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EBC5FA6199D48F682F055C655BD57F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CBCEE-7AFC-4EC3-B4E3-C2AEA2D1BF63}">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26</Pages>
  <Words>8433</Words>
  <Characters>9125</Characters>
  <Lines>116</Lines>
  <Paragraphs>32</Paragraphs>
  <TotalTime>0</TotalTime>
  <ScaleCrop>false</ScaleCrop>
  <LinksUpToDate>false</LinksUpToDate>
  <CharactersWithSpaces>9371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2025-11-27T07:35:00Z</dcterms:created>
  <dc:creator>匿名用户</dc:creator>
  <dc:description>&lt;config cover="true" show_menu="true" version="1.0.0" doctype="SDKXY"&gt;_x000d_
&lt;/config&gt;</dc:description>
  <cp:lastModifiedBy>周黎</cp:lastModifiedBy>
  <cp:lastPrinted>2025-11-21T07:55:00Z</cp:lastPrinted>
  <dcterms:modified xsi:type="dcterms:W3CDTF">2025-11-27T07:40:57Z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eyJoZGlkIjoiNTQ0Y2I3YzlhMGY4YTdkMGEzMDhiMGI5YmE3OGNiNTAiLCJ1c2VySWQiOiIzMzMzNDMxOTIifQ==</vt:lpwstr>
  </property>
  <property fmtid="{D5CDD505-2E9C-101B-9397-08002B2CF9AE}" pid="15" name="KSOProductBuildVer">
    <vt:lpwstr>2052-12.1.0.23542</vt:lpwstr>
  </property>
  <property fmtid="{D5CDD505-2E9C-101B-9397-08002B2CF9AE}" pid="16" name="ICV">
    <vt:lpwstr>75F21911A4F1418789F4A3A4CD419025_13</vt:lpwstr>
  </property>
</Properties>
</file>